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B01F0" w14:textId="77777777" w:rsidR="002B1884" w:rsidRPr="009D0E5D" w:rsidRDefault="002B1884" w:rsidP="00F9500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54E612AD" w14:textId="286AC214" w:rsidR="002B1884" w:rsidRPr="00255E54" w:rsidRDefault="002B1884" w:rsidP="00F9500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255E54">
        <w:rPr>
          <w:rFonts w:ascii="Calibri" w:hAnsi="Calibri" w:cs="Calibri"/>
          <w:b/>
          <w:bCs/>
          <w:sz w:val="32"/>
          <w:szCs w:val="32"/>
          <w:lang w:val="pt-BR"/>
        </w:rPr>
        <w:t>Capítulo 2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3</w:t>
      </w:r>
      <w:r w:rsidRPr="00255E54">
        <w:rPr>
          <w:rFonts w:ascii="Calibri" w:hAnsi="Calibri" w:cs="Calibri"/>
          <w:b/>
          <w:bCs/>
          <w:sz w:val="32"/>
          <w:szCs w:val="32"/>
          <w:lang w:val="pt-BR"/>
        </w:rPr>
        <w:t xml:space="preserve"> –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Dismorfogênese e síndromes genéticas</w:t>
      </w:r>
    </w:p>
    <w:p w14:paraId="776B30AA" w14:textId="77777777" w:rsidR="002B1884" w:rsidRPr="002B1884" w:rsidRDefault="002B1884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4CF5D36" w14:textId="1346D062" w:rsidR="002B1884" w:rsidRPr="00FC7078" w:rsidRDefault="002B1884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FC7078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</w:t>
      </w:r>
      <w:r w:rsidR="000D2847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1</w:t>
      </w:r>
      <w:r w:rsidRPr="00FC7078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(UNIFESP 2021)</w:t>
      </w:r>
    </w:p>
    <w:p w14:paraId="6B2223F9" w14:textId="77777777" w:rsidR="002B1884" w:rsidRPr="002B1884" w:rsidRDefault="002B1884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B1884">
        <w:rPr>
          <w:rFonts w:ascii="Calibri" w:eastAsiaTheme="minorHAnsi" w:hAnsi="Calibri" w:cs="Calibri"/>
          <w:kern w:val="2"/>
          <w:lang w:val="pt-BR"/>
          <w14:ligatures w14:val="standardContextual"/>
        </w:rPr>
        <w:t>Gestante de 39 anos de idade, fez ultrassonografia, com 12 semanas, que evidenciou feto com translucência nucal = 3,0 mm. Qual é a conduta nesse caso?</w:t>
      </w:r>
    </w:p>
    <w:p w14:paraId="17CB0125" w14:textId="08FB4808" w:rsidR="002B1884" w:rsidRPr="002B1884" w:rsidRDefault="002B1884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A) </w:t>
      </w:r>
      <w:r w:rsidRPr="002B1884">
        <w:rPr>
          <w:rFonts w:ascii="Calibri" w:eastAsiaTheme="minorHAnsi" w:hAnsi="Calibri" w:cs="Calibri"/>
          <w:kern w:val="2"/>
          <w:lang w:val="pt-BR"/>
          <w14:ligatures w14:val="standardContextual"/>
        </w:rPr>
        <w:t>Realizar investigação diagnóstica com exame de DNA livre no sangue materno.</w:t>
      </w:r>
    </w:p>
    <w:p w14:paraId="61F79B51" w14:textId="2B070FBB" w:rsidR="002B1884" w:rsidRPr="002B1884" w:rsidRDefault="002B1884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B) </w:t>
      </w:r>
      <w:r w:rsidRPr="002B1884">
        <w:rPr>
          <w:rFonts w:ascii="Calibri" w:eastAsiaTheme="minorHAnsi" w:hAnsi="Calibri" w:cs="Calibri"/>
          <w:kern w:val="2"/>
          <w:lang w:val="pt-BR"/>
          <w14:ligatures w14:val="standardContextual"/>
        </w:rPr>
        <w:t>Realizar investigação diagnóstica com biópsia de vilo corial e exame de cariótipo fetal.</w:t>
      </w:r>
    </w:p>
    <w:p w14:paraId="730E5913" w14:textId="48F354F2" w:rsidR="002B1884" w:rsidRPr="002B1884" w:rsidRDefault="002B1884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C) </w:t>
      </w:r>
      <w:r w:rsidRPr="002B1884">
        <w:rPr>
          <w:rFonts w:ascii="Calibri" w:eastAsiaTheme="minorHAnsi" w:hAnsi="Calibri" w:cs="Calibri"/>
          <w:kern w:val="2"/>
          <w:lang w:val="pt-BR"/>
          <w14:ligatures w14:val="standardContextual"/>
        </w:rPr>
        <w:t>Realizar investigação diagnóstica com cordocentese e exame de cariótipo fetal. </w:t>
      </w:r>
    </w:p>
    <w:p w14:paraId="087C2844" w14:textId="3A0EA3DA" w:rsidR="002B1884" w:rsidRPr="002B1884" w:rsidRDefault="002B1884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D) </w:t>
      </w:r>
      <w:r w:rsidRPr="002B1884">
        <w:rPr>
          <w:rFonts w:ascii="Calibri" w:eastAsiaTheme="minorHAnsi" w:hAnsi="Calibri" w:cs="Calibri"/>
          <w:kern w:val="2"/>
          <w:lang w:val="pt-BR"/>
          <w14:ligatures w14:val="standardContextual"/>
        </w:rPr>
        <w:t>Informar a paciente de que o feto tem diagnóstico de síndrome de Down e encaminhar para pré-natal de alto risco.</w:t>
      </w:r>
    </w:p>
    <w:p w14:paraId="1E215DA5" w14:textId="5EB0B72A" w:rsidR="002B1884" w:rsidRPr="002B1884" w:rsidRDefault="002B1884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E) </w:t>
      </w:r>
      <w:r w:rsidRPr="002B1884">
        <w:rPr>
          <w:rFonts w:ascii="Calibri" w:eastAsiaTheme="minorHAnsi" w:hAnsi="Calibri" w:cs="Calibri"/>
          <w:kern w:val="2"/>
          <w:lang w:val="pt-BR"/>
          <w14:ligatures w14:val="standardContextual"/>
        </w:rPr>
        <w:t>Repetir ultrassonografia com 14 semanas para confirmar o diagnóstico.</w:t>
      </w:r>
    </w:p>
    <w:p w14:paraId="22D23FDE" w14:textId="77777777" w:rsidR="002B1884" w:rsidRDefault="002B1884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FF4A9D5" w14:textId="22AC8C19" w:rsidR="002B1884" w:rsidRPr="00FC7078" w:rsidRDefault="00FC7078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FC7078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 w:rsidR="000D284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1</w:t>
      </w:r>
      <w:r w:rsidRPr="00FC7078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34CC9944" w14:textId="10E70E52" w:rsidR="00FC7078" w:rsidRPr="002B1884" w:rsidRDefault="00FC7078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C7078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translucência nucal aumentada pode ser um marcador de síndrome de Down e outras anomalias cromossômicas.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Nesta semana gestacional, a</w:t>
      </w:r>
      <w:r w:rsidRPr="00FC7078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biópsia de vilo corial permite a obtenção de material genético fetal para análise do cariótipo, o que é crucial para diagnóstico precoce e aconselhamento genético adequado.</w:t>
      </w:r>
      <w:r w:rsidR="00C53B32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Alternativa B.</w:t>
      </w:r>
    </w:p>
    <w:p w14:paraId="29EAA571" w14:textId="77777777" w:rsidR="00C53B32" w:rsidRPr="002B1884" w:rsidRDefault="00C53B32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FB289A5" w14:textId="7527CFBA" w:rsidR="002B1884" w:rsidRPr="00C53B32" w:rsidRDefault="00C53B32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C53B32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</w:t>
      </w:r>
      <w:r w:rsidR="000D2847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2</w:t>
      </w:r>
      <w:r w:rsidRPr="00C53B32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(AMIRGS 2020)</w:t>
      </w:r>
    </w:p>
    <w:p w14:paraId="2779B255" w14:textId="77777777" w:rsidR="00C53B32" w:rsidRPr="00C53B32" w:rsidRDefault="00C53B32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53B32">
        <w:rPr>
          <w:rFonts w:ascii="Calibri" w:eastAsiaTheme="minorHAnsi" w:hAnsi="Calibri" w:cs="Calibri"/>
          <w:kern w:val="2"/>
          <w:lang w:val="pt-BR"/>
          <w14:ligatures w14:val="standardContextual"/>
        </w:rPr>
        <w:t>A Síndrome de Prader-Willi (SPW) é um dos exemplos de obesidade genética. A incidência da SPW é de cerca de 1 a cada 15 mil nascimentos, afetando ambos os sexos igualmente e em todas as etnias. Embora rara, a síndrome de Prader-Willi é a causa genética mais comum da obesidade. Em relação à síndrome de Prader-Willi, assinale a alternativa correta. </w:t>
      </w:r>
    </w:p>
    <w:p w14:paraId="02BB370E" w14:textId="77777777" w:rsidR="00C53B32" w:rsidRPr="00C53B32" w:rsidRDefault="00C53B32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53B32">
        <w:rPr>
          <w:rFonts w:ascii="Calibri" w:eastAsiaTheme="minorHAnsi" w:hAnsi="Calibri" w:cs="Calibri"/>
          <w:kern w:val="2"/>
          <w:lang w:val="pt-BR"/>
          <w14:ligatures w14:val="standardContextual"/>
        </w:rPr>
        <w:t>A) Muitos sintomas da síndrome de Prader-Willi variam de acordo com a idade da criança. Recém-nascidos geralmente são GIG (grandes para a idade gestacional) e têm ganho de peso excessivo no primeiro ano de vida. </w:t>
      </w:r>
    </w:p>
    <w:p w14:paraId="633BD532" w14:textId="77777777" w:rsidR="00C53B32" w:rsidRPr="00C53B32" w:rsidRDefault="00C53B32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53B32">
        <w:rPr>
          <w:rFonts w:ascii="Calibri" w:eastAsiaTheme="minorHAnsi" w:hAnsi="Calibri" w:cs="Calibri"/>
          <w:kern w:val="2"/>
          <w:lang w:val="pt-BR"/>
          <w14:ligatures w14:val="standardContextual"/>
        </w:rPr>
        <w:t>B) Problemas hormonais são comuns e há uma redução anormal na função dos órgãos reprodutores, o que limita o crescimento e o desenvolvimento sexual. Os meninos têm criptorquidia e pênis e escroto subdesenvolvidos. </w:t>
      </w:r>
    </w:p>
    <w:p w14:paraId="096ED974" w14:textId="162CCD1A" w:rsidR="00C53B32" w:rsidRPr="00C53B32" w:rsidRDefault="00C53B32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53B32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C) O tratamento com hormônio do crescimento é contraindicado, há aumento da resistência à insulina e, visto que não há cura, são poucos os benefícios com o uso da </w:t>
      </w:r>
      <w:proofErr w:type="spellStart"/>
      <w:r w:rsidRPr="00C53B32">
        <w:rPr>
          <w:rFonts w:ascii="Calibri" w:eastAsiaTheme="minorHAnsi" w:hAnsi="Calibri" w:cs="Calibri"/>
          <w:kern w:val="2"/>
          <w:lang w:val="pt-BR"/>
          <w14:ligatures w14:val="standardContextual"/>
        </w:rPr>
        <w:t>somatrof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i</w:t>
      </w:r>
      <w:r w:rsidRPr="00C53B32">
        <w:rPr>
          <w:rFonts w:ascii="Calibri" w:eastAsiaTheme="minorHAnsi" w:hAnsi="Calibri" w:cs="Calibri"/>
          <w:kern w:val="2"/>
          <w:lang w:val="pt-BR"/>
          <w14:ligatures w14:val="standardContextual"/>
        </w:rPr>
        <w:t>na</w:t>
      </w:r>
      <w:proofErr w:type="spellEnd"/>
      <w:r w:rsidRPr="00C53B32">
        <w:rPr>
          <w:rFonts w:ascii="Calibri" w:eastAsiaTheme="minorHAnsi" w:hAnsi="Calibri" w:cs="Calibri"/>
          <w:kern w:val="2"/>
          <w:lang w:val="pt-BR"/>
          <w14:ligatures w14:val="standardContextual"/>
        </w:rPr>
        <w:t>. </w:t>
      </w:r>
    </w:p>
    <w:p w14:paraId="7C98EC09" w14:textId="77777777" w:rsidR="00C53B32" w:rsidRPr="00C53B32" w:rsidRDefault="00C53B32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53B32">
        <w:rPr>
          <w:rFonts w:ascii="Calibri" w:eastAsiaTheme="minorHAnsi" w:hAnsi="Calibri" w:cs="Calibri"/>
          <w:kern w:val="2"/>
          <w:lang w:val="pt-BR"/>
          <w14:ligatures w14:val="standardContextual"/>
        </w:rPr>
        <w:t>D) A síndrome de Prader-Willi resulta da ausência de material genético ativo em uma região do cromossomo 15 (15q11-q13) e o diagnóstico é feito com a solicitação de cariótipo. </w:t>
      </w:r>
    </w:p>
    <w:p w14:paraId="11A41E9E" w14:textId="6D66A74B" w:rsidR="00C53B32" w:rsidRPr="00C53B32" w:rsidRDefault="00C53B32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53B32">
        <w:rPr>
          <w:rFonts w:ascii="Calibri" w:eastAsiaTheme="minorHAnsi" w:hAnsi="Calibri" w:cs="Calibri"/>
          <w:kern w:val="2"/>
          <w:lang w:val="pt-BR"/>
          <w14:ligatures w14:val="standardContextual"/>
        </w:rPr>
        <w:t>E) As principais complicações na vida adulta resultam do comprometimento cognitivo e há surdez central e amaurose com escoliose importante, obesidade e insuficiência renal.</w:t>
      </w:r>
    </w:p>
    <w:p w14:paraId="603744ED" w14:textId="77777777" w:rsidR="00C53B32" w:rsidRPr="00C53B32" w:rsidRDefault="00C53B32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35C1469" w14:textId="586647CD" w:rsidR="00C53B32" w:rsidRPr="00C53B32" w:rsidRDefault="00C53B32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C53B32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lastRenderedPageBreak/>
        <w:t xml:space="preserve">Comentário da questão </w:t>
      </w:r>
      <w:r w:rsidR="000D284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2</w:t>
      </w:r>
      <w:r w:rsidRPr="00C53B32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: </w:t>
      </w:r>
    </w:p>
    <w:p w14:paraId="4D79FDA8" w14:textId="5C04FACF" w:rsidR="00F95003" w:rsidRDefault="00E11E84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11E8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síndrome de Prader-Willi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(SPW) </w:t>
      </w:r>
      <w:r w:rsidRPr="00E11E84">
        <w:rPr>
          <w:rFonts w:ascii="Calibri" w:eastAsiaTheme="minorHAnsi" w:hAnsi="Calibri" w:cs="Calibri"/>
          <w:kern w:val="2"/>
          <w:lang w:val="pt-BR"/>
          <w14:ligatures w14:val="standardContextual"/>
        </w:rPr>
        <w:t>apresenta características como hipotonia muscular ao nascimento, dificuldades alimentares, problemas hormonais que podem incluir hipogonadismo (redução na função dos órgãos reprodutores), criptorquidia (testículos não descidos), e desenvolvimento sexual incompleto em meninos. A síndrome é causada pela deleção ou disomia uniparental materna na região 15q11-q13 do cromossomo 15, e o diagnóstico frequentemente envolve testes genéticos para identificar essas anormalidades cromossômicas.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E11E84">
        <w:rPr>
          <w:rFonts w:ascii="Calibri" w:eastAsiaTheme="minorHAnsi" w:hAnsi="Calibri" w:cs="Calibri"/>
          <w:kern w:val="2"/>
          <w:lang w:val="pt-BR"/>
          <w14:ligatures w14:val="standardContextual"/>
        </w:rPr>
        <w:t>Assim, a alternativa correta e B.</w:t>
      </w:r>
    </w:p>
    <w:p w14:paraId="2A88028D" w14:textId="77777777" w:rsid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A1A5F6E" w14:textId="598D46FA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</w:t>
      </w:r>
      <w:r w:rsidR="000D2847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3</w:t>
      </w:r>
      <w:r w:rsidRPr="00F95003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(AMP 2023)</w:t>
      </w:r>
    </w:p>
    <w:p w14:paraId="5C9E35B2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kern w:val="2"/>
          <w:lang w:val="pt-BR"/>
          <w14:ligatures w14:val="standardContextual"/>
        </w:rPr>
        <w:t>A Deficiência Intelectual (DI) é um distúrbio do neurodesenvolvimento de múltiplas etiologias, em que a criança apresenta limitações, seja na inteligência bem como nas habilidades adaptativas. Em consulta ambulatorial, diante de um pré-escolar com DI, que apresenta ao exame físico sobrancelhas arqueadas, cílios longos e curvos, lábio superior fino, filtro nasolabial longo e hirsutismo, a principal suspeição clínica do pediatra deverá ser </w:t>
      </w:r>
    </w:p>
    <w:p w14:paraId="3C7EE866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kern w:val="2"/>
          <w:lang w:val="pt-BR"/>
          <w14:ligatures w14:val="standardContextual"/>
        </w:rPr>
        <w:t>A) Síndrome de Patau. </w:t>
      </w:r>
    </w:p>
    <w:p w14:paraId="6BA658C2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kern w:val="2"/>
          <w:lang w:val="pt-BR"/>
          <w14:ligatures w14:val="standardContextual"/>
        </w:rPr>
        <w:t>B) Síndrome de Edwards. </w:t>
      </w:r>
    </w:p>
    <w:p w14:paraId="67A80428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kern w:val="2"/>
          <w:lang w:val="pt-BR"/>
          <w14:ligatures w14:val="standardContextual"/>
        </w:rPr>
        <w:t>C) Síndrome de Turner. </w:t>
      </w:r>
    </w:p>
    <w:p w14:paraId="33B47223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kern w:val="2"/>
          <w:lang w:val="pt-BR"/>
          <w14:ligatures w14:val="standardContextual"/>
        </w:rPr>
        <w:t>D) Síndrome de Cri-du-chat. </w:t>
      </w:r>
    </w:p>
    <w:p w14:paraId="2C8B6901" w14:textId="77777777" w:rsid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kern w:val="2"/>
          <w:lang w:val="pt-BR"/>
          <w14:ligatures w14:val="standardContextual"/>
        </w:rPr>
        <w:t>E) Síndrome de Cornélia de Lange.</w:t>
      </w:r>
    </w:p>
    <w:p w14:paraId="7155E9FF" w14:textId="77777777" w:rsid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7F9B0A1" w14:textId="4DB8AA9B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 w:rsidR="000D284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3</w:t>
      </w:r>
      <w:r w:rsidRPr="00F95003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601A958D" w14:textId="126F46D5" w:rsid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kern w:val="2"/>
          <w:lang w:val="pt-BR"/>
          <w14:ligatures w14:val="standardContextual"/>
        </w:rPr>
        <w:t>Diante dos achados físicos descritos (sobrancelhas arqueadas, cílios longos e curvos, lábio superior fino, filtro nasolabial longo e hirsutismo), a principal suspeição clínica do pediatra deverá ser a síndrome de Cornélia de Lange.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F95003">
        <w:rPr>
          <w:rFonts w:ascii="Calibri" w:eastAsiaTheme="minorHAnsi" w:hAnsi="Calibri" w:cs="Calibri"/>
          <w:kern w:val="2"/>
          <w:lang w:val="pt-BR"/>
          <w14:ligatures w14:val="standardContextual"/>
        </w:rPr>
        <w:t>A síndrome de Cornélia de Lange é uma condição genética rara que pode estar associada a deficiência intelectual e apresenta características físicas distintivas, incluindo as mencionadas acima. É importante considerar esta síndrome em crianças com deficiência intelectual e essas características faciais características.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Alternativa E.</w:t>
      </w:r>
    </w:p>
    <w:p w14:paraId="76613985" w14:textId="77777777" w:rsid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9491D54" w14:textId="03CA9FCD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</w:t>
      </w:r>
      <w:r w:rsidR="000D2847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4</w:t>
      </w:r>
      <w:r w:rsidRPr="00F95003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(IASME 2020)</w:t>
      </w:r>
    </w:p>
    <w:p w14:paraId="2C1E7C32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kern w:val="2"/>
          <w:lang w:val="pt-BR"/>
          <w14:ligatures w14:val="standardContextual"/>
        </w:rPr>
        <w:t>Paciente grávida de 20 semanas realizou diagnóstico pré-natal cromossômico e foi informada de que se tratava de feto com Síndrome de Turner. Sobre o diagnóstico, recomenda-se a essa paciente: </w:t>
      </w:r>
    </w:p>
    <w:p w14:paraId="288F60DC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kern w:val="2"/>
          <w:lang w:val="pt-BR"/>
          <w14:ligatures w14:val="standardContextual"/>
        </w:rPr>
        <w:t>A) Orientar o casal para interrupção da gravidez. </w:t>
      </w:r>
    </w:p>
    <w:p w14:paraId="1F839178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kern w:val="2"/>
          <w:lang w:val="pt-BR"/>
          <w14:ligatures w14:val="standardContextual"/>
        </w:rPr>
        <w:t>B) É uma condição que tende a se repetir e, desta forma, não seria conveniente nova gravidez. </w:t>
      </w:r>
    </w:p>
    <w:p w14:paraId="15706F41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kern w:val="2"/>
          <w:lang w:val="pt-BR"/>
          <w14:ligatures w14:val="standardContextual"/>
        </w:rPr>
        <w:t>C) Nesta síndrome, a infertilidade é comum, mas pode-se tentar fertilização in vitro com óvulo doação. </w:t>
      </w:r>
    </w:p>
    <w:p w14:paraId="1568CF1B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kern w:val="2"/>
          <w:lang w:val="pt-BR"/>
          <w14:ligatures w14:val="standardContextual"/>
        </w:rPr>
        <w:lastRenderedPageBreak/>
        <w:t>D) As formas em mosaico têm mais sintomatologia clínica como hipotireoidismo, hipertensão arterial e obesidade. </w:t>
      </w:r>
    </w:p>
    <w:p w14:paraId="70DE0504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95003">
        <w:rPr>
          <w:rFonts w:ascii="Calibri" w:eastAsiaTheme="minorHAnsi" w:hAnsi="Calibri" w:cs="Calibri"/>
          <w:kern w:val="2"/>
          <w:lang w:val="pt-BR"/>
          <w14:ligatures w14:val="standardContextual"/>
        </w:rPr>
        <w:t>E) Não se deve fazer terapia hormonal, pois apesar da síndrome, as dosagens plasmáticas de Estradiol, FSH e LH são normais. </w:t>
      </w:r>
    </w:p>
    <w:p w14:paraId="10734BDD" w14:textId="77777777" w:rsid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B5CB447" w14:textId="1BFA2CFB" w:rsidR="00EC0FCB" w:rsidRPr="00EC0FCB" w:rsidRDefault="00EC0FCB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EC0FCB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 w:rsidR="000D284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4</w:t>
      </w:r>
      <w:r w:rsidRPr="00EC0FCB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188A8EE2" w14:textId="2F8F4A1C" w:rsidR="00EC0FCB" w:rsidRPr="00F95003" w:rsidRDefault="00EC0FCB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C0FCB">
        <w:rPr>
          <w:rFonts w:ascii="Calibri" w:eastAsiaTheme="minorHAnsi" w:hAnsi="Calibri" w:cs="Calibri"/>
          <w:kern w:val="2"/>
          <w:lang w:val="pt-BR"/>
          <w14:ligatures w14:val="standardContextual"/>
        </w:rPr>
        <w:t>A Síndrome de Turner é uma condição genética em que há ausência total ou parcial de um dos cromossomos X em mulheres. É uma causa comum de baixa estatura e pode estar associada a problemas de fertilidade devido à disgenesia gonadal. No entanto, muitas mulheres com a síndrome de Turner podem optar por fertilização in vitro com óvulos doados para ter filhos biológicos. Terapia hormonal também pode ser indicada para induzir o desenvolvimento sexual secundário e tratar outros sintomas associados à síndrome.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Alternativa C</w:t>
      </w:r>
      <w:r w:rsidR="00FC3A2E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está correta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.</w:t>
      </w:r>
    </w:p>
    <w:p w14:paraId="323215DB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17151FD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56C26BD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B481F5B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8E7D7A7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CA77F26" w14:textId="77777777" w:rsidR="00F95003" w:rsidRPr="00F95003" w:rsidRDefault="00F95003" w:rsidP="00F9500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sectPr w:rsidR="00F95003" w:rsidRPr="00F950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53529A"/>
    <w:multiLevelType w:val="multilevel"/>
    <w:tmpl w:val="558EA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78016F"/>
    <w:multiLevelType w:val="hybridMultilevel"/>
    <w:tmpl w:val="8DE069EE"/>
    <w:lvl w:ilvl="0" w:tplc="779E70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468168">
    <w:abstractNumId w:val="0"/>
    <w:lvlOverride w:ilvl="0">
      <w:lvl w:ilvl="0">
        <w:numFmt w:val="lowerLetter"/>
        <w:lvlText w:val="%1."/>
        <w:lvlJc w:val="left"/>
      </w:lvl>
    </w:lvlOverride>
  </w:num>
  <w:num w:numId="2" w16cid:durableId="785931972">
    <w:abstractNumId w:val="0"/>
    <w:lvlOverride w:ilvl="0">
      <w:lvl w:ilvl="0">
        <w:numFmt w:val="lowerLetter"/>
        <w:lvlText w:val="%1."/>
        <w:lvlJc w:val="left"/>
      </w:lvl>
    </w:lvlOverride>
  </w:num>
  <w:num w:numId="3" w16cid:durableId="205916635">
    <w:abstractNumId w:val="0"/>
    <w:lvlOverride w:ilvl="0">
      <w:lvl w:ilvl="0">
        <w:numFmt w:val="lowerLetter"/>
        <w:lvlText w:val="%1."/>
        <w:lvlJc w:val="left"/>
      </w:lvl>
    </w:lvlOverride>
  </w:num>
  <w:num w:numId="4" w16cid:durableId="1953852241">
    <w:abstractNumId w:val="0"/>
    <w:lvlOverride w:ilvl="0">
      <w:lvl w:ilvl="0">
        <w:numFmt w:val="lowerLetter"/>
        <w:lvlText w:val="%1."/>
        <w:lvlJc w:val="left"/>
      </w:lvl>
    </w:lvlOverride>
  </w:num>
  <w:num w:numId="5" w16cid:durableId="361900609">
    <w:abstractNumId w:val="0"/>
    <w:lvlOverride w:ilvl="0">
      <w:lvl w:ilvl="0">
        <w:numFmt w:val="lowerLetter"/>
        <w:lvlText w:val="%1."/>
        <w:lvlJc w:val="left"/>
      </w:lvl>
    </w:lvlOverride>
  </w:num>
  <w:num w:numId="6" w16cid:durableId="2144149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84"/>
    <w:rsid w:val="0000146D"/>
    <w:rsid w:val="00007488"/>
    <w:rsid w:val="000228A7"/>
    <w:rsid w:val="0002373F"/>
    <w:rsid w:val="0003586D"/>
    <w:rsid w:val="00037E45"/>
    <w:rsid w:val="0004195A"/>
    <w:rsid w:val="0004628A"/>
    <w:rsid w:val="00054EDC"/>
    <w:rsid w:val="00055F3A"/>
    <w:rsid w:val="000571CE"/>
    <w:rsid w:val="000575F1"/>
    <w:rsid w:val="000616DD"/>
    <w:rsid w:val="0006222E"/>
    <w:rsid w:val="0007148A"/>
    <w:rsid w:val="000726E9"/>
    <w:rsid w:val="00081337"/>
    <w:rsid w:val="00085657"/>
    <w:rsid w:val="00086DF7"/>
    <w:rsid w:val="000959C3"/>
    <w:rsid w:val="000A2A67"/>
    <w:rsid w:val="000A652F"/>
    <w:rsid w:val="000A7F90"/>
    <w:rsid w:val="000C0B97"/>
    <w:rsid w:val="000D2847"/>
    <w:rsid w:val="000D43A5"/>
    <w:rsid w:val="000D7A39"/>
    <w:rsid w:val="000E4A7C"/>
    <w:rsid w:val="000F08C7"/>
    <w:rsid w:val="000F1C8C"/>
    <w:rsid w:val="000F37AE"/>
    <w:rsid w:val="00105E6A"/>
    <w:rsid w:val="00110101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54363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64044"/>
    <w:rsid w:val="00266919"/>
    <w:rsid w:val="002672C9"/>
    <w:rsid w:val="0027005E"/>
    <w:rsid w:val="00280620"/>
    <w:rsid w:val="00281D13"/>
    <w:rsid w:val="00284A51"/>
    <w:rsid w:val="002926B5"/>
    <w:rsid w:val="002933C5"/>
    <w:rsid w:val="00297E60"/>
    <w:rsid w:val="002B1884"/>
    <w:rsid w:val="002B2416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6CD6"/>
    <w:rsid w:val="0033548B"/>
    <w:rsid w:val="00340E5D"/>
    <w:rsid w:val="0034159A"/>
    <w:rsid w:val="003446DA"/>
    <w:rsid w:val="0034598B"/>
    <w:rsid w:val="00355E21"/>
    <w:rsid w:val="00364863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7041"/>
    <w:rsid w:val="003C3B6A"/>
    <w:rsid w:val="003C7199"/>
    <w:rsid w:val="003E2C9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46B6C"/>
    <w:rsid w:val="005513AF"/>
    <w:rsid w:val="00553503"/>
    <w:rsid w:val="00553EB7"/>
    <w:rsid w:val="00555BD6"/>
    <w:rsid w:val="005617E7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A077A"/>
    <w:rsid w:val="005B2DED"/>
    <w:rsid w:val="005C0523"/>
    <w:rsid w:val="005C4690"/>
    <w:rsid w:val="005D04FC"/>
    <w:rsid w:val="005D4483"/>
    <w:rsid w:val="005E7227"/>
    <w:rsid w:val="005F37C4"/>
    <w:rsid w:val="0061126B"/>
    <w:rsid w:val="0061166C"/>
    <w:rsid w:val="0061565D"/>
    <w:rsid w:val="00616C13"/>
    <w:rsid w:val="0062358D"/>
    <w:rsid w:val="00624496"/>
    <w:rsid w:val="0063482D"/>
    <w:rsid w:val="006357D7"/>
    <w:rsid w:val="00640D7C"/>
    <w:rsid w:val="00642C8D"/>
    <w:rsid w:val="0067233E"/>
    <w:rsid w:val="00673C75"/>
    <w:rsid w:val="006764A2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BA8"/>
    <w:rsid w:val="006C6787"/>
    <w:rsid w:val="006D37BB"/>
    <w:rsid w:val="006D58A8"/>
    <w:rsid w:val="006D66A8"/>
    <w:rsid w:val="006E0E4E"/>
    <w:rsid w:val="006E3D82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566A"/>
    <w:rsid w:val="00764FCC"/>
    <w:rsid w:val="007665D3"/>
    <w:rsid w:val="007748A7"/>
    <w:rsid w:val="0079077A"/>
    <w:rsid w:val="0079267E"/>
    <w:rsid w:val="00796D9E"/>
    <w:rsid w:val="00797C9F"/>
    <w:rsid w:val="007A1153"/>
    <w:rsid w:val="007A7822"/>
    <w:rsid w:val="007A7A41"/>
    <w:rsid w:val="007C2291"/>
    <w:rsid w:val="007D26F0"/>
    <w:rsid w:val="007D4686"/>
    <w:rsid w:val="007D4FFE"/>
    <w:rsid w:val="007D626B"/>
    <w:rsid w:val="007D6AD0"/>
    <w:rsid w:val="007D6AE4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2FF7"/>
    <w:rsid w:val="008336A8"/>
    <w:rsid w:val="00843C91"/>
    <w:rsid w:val="0084421D"/>
    <w:rsid w:val="00847329"/>
    <w:rsid w:val="00852ECF"/>
    <w:rsid w:val="00880C0B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17F53"/>
    <w:rsid w:val="009205CD"/>
    <w:rsid w:val="009252DF"/>
    <w:rsid w:val="00926183"/>
    <w:rsid w:val="00926B4A"/>
    <w:rsid w:val="00927D63"/>
    <w:rsid w:val="00930DD0"/>
    <w:rsid w:val="00934DFB"/>
    <w:rsid w:val="00936E4F"/>
    <w:rsid w:val="009405C0"/>
    <w:rsid w:val="00952BBE"/>
    <w:rsid w:val="009578F0"/>
    <w:rsid w:val="009624D4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7FA8"/>
    <w:rsid w:val="009A1A83"/>
    <w:rsid w:val="009A1CEE"/>
    <w:rsid w:val="009A1DEC"/>
    <w:rsid w:val="009B16FF"/>
    <w:rsid w:val="009B4989"/>
    <w:rsid w:val="009B65B0"/>
    <w:rsid w:val="009B6D5E"/>
    <w:rsid w:val="009C12F7"/>
    <w:rsid w:val="009C34FD"/>
    <w:rsid w:val="009C5B4C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C0879"/>
    <w:rsid w:val="00AC7222"/>
    <w:rsid w:val="00AD1D9C"/>
    <w:rsid w:val="00AD1DC3"/>
    <w:rsid w:val="00AD5A5A"/>
    <w:rsid w:val="00AD5B37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85F9E"/>
    <w:rsid w:val="00B94EF9"/>
    <w:rsid w:val="00B95F32"/>
    <w:rsid w:val="00B96C77"/>
    <w:rsid w:val="00B978B5"/>
    <w:rsid w:val="00BA34BB"/>
    <w:rsid w:val="00BB0126"/>
    <w:rsid w:val="00BB380B"/>
    <w:rsid w:val="00BB3F05"/>
    <w:rsid w:val="00BB4B4B"/>
    <w:rsid w:val="00BB5CF4"/>
    <w:rsid w:val="00BC2D6E"/>
    <w:rsid w:val="00BD16FF"/>
    <w:rsid w:val="00BD1961"/>
    <w:rsid w:val="00BE674C"/>
    <w:rsid w:val="00BE6B7D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6B72"/>
    <w:rsid w:val="00C3632E"/>
    <w:rsid w:val="00C377BA"/>
    <w:rsid w:val="00C4311D"/>
    <w:rsid w:val="00C53B32"/>
    <w:rsid w:val="00C54633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B5D90"/>
    <w:rsid w:val="00CB7239"/>
    <w:rsid w:val="00CC2985"/>
    <w:rsid w:val="00CC56B0"/>
    <w:rsid w:val="00CC59C0"/>
    <w:rsid w:val="00CC7481"/>
    <w:rsid w:val="00CD0774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31308"/>
    <w:rsid w:val="00D32DF0"/>
    <w:rsid w:val="00D36EEC"/>
    <w:rsid w:val="00D41376"/>
    <w:rsid w:val="00D41B1C"/>
    <w:rsid w:val="00D42B4D"/>
    <w:rsid w:val="00D46BEF"/>
    <w:rsid w:val="00D55F23"/>
    <w:rsid w:val="00D60C24"/>
    <w:rsid w:val="00D6422D"/>
    <w:rsid w:val="00D7323F"/>
    <w:rsid w:val="00D7412B"/>
    <w:rsid w:val="00D7556B"/>
    <w:rsid w:val="00D77516"/>
    <w:rsid w:val="00D856ED"/>
    <w:rsid w:val="00D8672D"/>
    <w:rsid w:val="00D93F0D"/>
    <w:rsid w:val="00D958B9"/>
    <w:rsid w:val="00DA4080"/>
    <w:rsid w:val="00DA63EF"/>
    <w:rsid w:val="00DA6F06"/>
    <w:rsid w:val="00DB58B4"/>
    <w:rsid w:val="00DC239B"/>
    <w:rsid w:val="00DC49CF"/>
    <w:rsid w:val="00DD17DD"/>
    <w:rsid w:val="00DD548A"/>
    <w:rsid w:val="00DF163F"/>
    <w:rsid w:val="00DF4278"/>
    <w:rsid w:val="00DF71EF"/>
    <w:rsid w:val="00E0590D"/>
    <w:rsid w:val="00E11E84"/>
    <w:rsid w:val="00E161DC"/>
    <w:rsid w:val="00E26204"/>
    <w:rsid w:val="00E26424"/>
    <w:rsid w:val="00E26C7F"/>
    <w:rsid w:val="00E312A1"/>
    <w:rsid w:val="00E37D02"/>
    <w:rsid w:val="00E408E3"/>
    <w:rsid w:val="00E40F18"/>
    <w:rsid w:val="00E4475F"/>
    <w:rsid w:val="00E5717A"/>
    <w:rsid w:val="00E57DA9"/>
    <w:rsid w:val="00E57F06"/>
    <w:rsid w:val="00E64031"/>
    <w:rsid w:val="00E65F83"/>
    <w:rsid w:val="00E66B7F"/>
    <w:rsid w:val="00E716E8"/>
    <w:rsid w:val="00E75AE6"/>
    <w:rsid w:val="00E83723"/>
    <w:rsid w:val="00E90584"/>
    <w:rsid w:val="00E93A64"/>
    <w:rsid w:val="00EA3FBF"/>
    <w:rsid w:val="00EA70C3"/>
    <w:rsid w:val="00EB2F47"/>
    <w:rsid w:val="00EC012B"/>
    <w:rsid w:val="00EC0FCB"/>
    <w:rsid w:val="00EC1DD0"/>
    <w:rsid w:val="00ED2662"/>
    <w:rsid w:val="00EF553B"/>
    <w:rsid w:val="00F04716"/>
    <w:rsid w:val="00F05413"/>
    <w:rsid w:val="00F0681D"/>
    <w:rsid w:val="00F10999"/>
    <w:rsid w:val="00F13201"/>
    <w:rsid w:val="00F1438A"/>
    <w:rsid w:val="00F23563"/>
    <w:rsid w:val="00F3183C"/>
    <w:rsid w:val="00F32005"/>
    <w:rsid w:val="00F36DC1"/>
    <w:rsid w:val="00F402D4"/>
    <w:rsid w:val="00F420C5"/>
    <w:rsid w:val="00F44AFC"/>
    <w:rsid w:val="00F45DD9"/>
    <w:rsid w:val="00F57A9D"/>
    <w:rsid w:val="00F64DF2"/>
    <w:rsid w:val="00F66632"/>
    <w:rsid w:val="00F77B9B"/>
    <w:rsid w:val="00F80CCC"/>
    <w:rsid w:val="00F848B8"/>
    <w:rsid w:val="00F86157"/>
    <w:rsid w:val="00F8799C"/>
    <w:rsid w:val="00F95003"/>
    <w:rsid w:val="00FA09E8"/>
    <w:rsid w:val="00FA401C"/>
    <w:rsid w:val="00FA5EC7"/>
    <w:rsid w:val="00FA64C9"/>
    <w:rsid w:val="00FB37C5"/>
    <w:rsid w:val="00FC3A2E"/>
    <w:rsid w:val="00FC7078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C81EFE3"/>
  <w15:chartTrackingRefBased/>
  <w15:docId w15:val="{E63C2733-EA73-7944-8BAD-7EFE2248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003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8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8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8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8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8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8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8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8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8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8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8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8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8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8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8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8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8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88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B188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11E84"/>
  </w:style>
  <w:style w:type="character" w:styleId="Strong">
    <w:name w:val="Strong"/>
    <w:basedOn w:val="DefaultParagraphFont"/>
    <w:uiPriority w:val="22"/>
    <w:qFormat/>
    <w:rsid w:val="00E11E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4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8</cp:revision>
  <dcterms:created xsi:type="dcterms:W3CDTF">2024-07-09T21:03:00Z</dcterms:created>
  <dcterms:modified xsi:type="dcterms:W3CDTF">2024-12-28T19:51:00Z</dcterms:modified>
</cp:coreProperties>
</file>