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F70A6" w14:textId="77777777" w:rsidR="00974223" w:rsidRPr="009D0E5D" w:rsidRDefault="00974223" w:rsidP="00974223">
      <w:pPr>
        <w:spacing w:line="276" w:lineRule="auto"/>
        <w:jc w:val="center"/>
        <w:rPr>
          <w:rFonts w:ascii="Calibri" w:hAnsi="Calibri" w:cs="Calibri"/>
          <w:b/>
          <w:bCs/>
          <w:sz w:val="32"/>
          <w:szCs w:val="32"/>
          <w:lang w:val="pt-BR"/>
        </w:rPr>
      </w:pPr>
      <w:r w:rsidRPr="009D0E5D">
        <w:rPr>
          <w:rFonts w:ascii="Calibri" w:hAnsi="Calibri" w:cs="Calibri"/>
          <w:b/>
          <w:bCs/>
          <w:sz w:val="32"/>
          <w:szCs w:val="32"/>
          <w:lang w:val="pt-BR"/>
        </w:rPr>
        <w:t>Anomalias Fetais: Embriologia, Clínica e Genética</w:t>
      </w:r>
    </w:p>
    <w:p w14:paraId="0841467B" w14:textId="5ABB3E82" w:rsidR="00974223" w:rsidRPr="00255E54" w:rsidRDefault="00974223" w:rsidP="00974223">
      <w:pPr>
        <w:spacing w:line="276" w:lineRule="auto"/>
        <w:jc w:val="center"/>
        <w:rPr>
          <w:rFonts w:ascii="Calibri" w:hAnsi="Calibri" w:cs="Calibri"/>
          <w:b/>
          <w:bCs/>
          <w:sz w:val="32"/>
          <w:szCs w:val="32"/>
          <w:lang w:val="pt-BR"/>
        </w:rPr>
      </w:pPr>
      <w:r w:rsidRPr="00255E54">
        <w:rPr>
          <w:rFonts w:ascii="Calibri" w:hAnsi="Calibri" w:cs="Calibri"/>
          <w:b/>
          <w:bCs/>
          <w:sz w:val="32"/>
          <w:szCs w:val="32"/>
          <w:lang w:val="pt-BR"/>
        </w:rPr>
        <w:t>Capítulo 2</w:t>
      </w:r>
      <w:r>
        <w:rPr>
          <w:rFonts w:ascii="Calibri" w:hAnsi="Calibri" w:cs="Calibri"/>
          <w:b/>
          <w:bCs/>
          <w:sz w:val="32"/>
          <w:szCs w:val="32"/>
          <w:lang w:val="pt-BR"/>
        </w:rPr>
        <w:t>2</w:t>
      </w:r>
      <w:r w:rsidRPr="00255E54">
        <w:rPr>
          <w:rFonts w:ascii="Calibri" w:hAnsi="Calibri" w:cs="Calibri"/>
          <w:b/>
          <w:bCs/>
          <w:sz w:val="32"/>
          <w:szCs w:val="32"/>
          <w:lang w:val="pt-BR"/>
        </w:rPr>
        <w:t xml:space="preserve"> – </w:t>
      </w:r>
      <w:r>
        <w:rPr>
          <w:rFonts w:ascii="Calibri" w:hAnsi="Calibri" w:cs="Calibri"/>
          <w:b/>
          <w:bCs/>
          <w:sz w:val="32"/>
          <w:szCs w:val="32"/>
          <w:lang w:val="pt-BR"/>
        </w:rPr>
        <w:t>Testes genéticos aplicados à Medicina Fetal</w:t>
      </w:r>
    </w:p>
    <w:p w14:paraId="6DC8FD7B" w14:textId="77777777" w:rsidR="00E54651" w:rsidRDefault="00E54651" w:rsidP="00974223">
      <w:pPr>
        <w:spacing w:line="276" w:lineRule="auto"/>
        <w:jc w:val="both"/>
        <w:rPr>
          <w:rFonts w:ascii="Calibri" w:eastAsiaTheme="minorHAnsi" w:hAnsi="Calibri" w:cs="Calibri"/>
          <w:kern w:val="2"/>
          <w:lang w:val="pt-BR"/>
          <w14:ligatures w14:val="standardContextual"/>
        </w:rPr>
      </w:pPr>
    </w:p>
    <w:p w14:paraId="77D61906" w14:textId="5774EE8C" w:rsidR="00E54651" w:rsidRPr="00E54651" w:rsidRDefault="00E54651" w:rsidP="00974223">
      <w:pPr>
        <w:spacing w:line="276" w:lineRule="auto"/>
        <w:jc w:val="both"/>
        <w:rPr>
          <w:rFonts w:ascii="Calibri" w:eastAsiaTheme="minorHAnsi" w:hAnsi="Calibri" w:cs="Calibri"/>
          <w:b/>
          <w:bCs/>
          <w:kern w:val="2"/>
          <w:lang w:val="pt-BR"/>
          <w14:ligatures w14:val="standardContextual"/>
        </w:rPr>
      </w:pPr>
      <w:r w:rsidRPr="00E54651">
        <w:rPr>
          <w:rFonts w:ascii="Calibri" w:eastAsiaTheme="minorHAnsi" w:hAnsi="Calibri" w:cs="Calibri"/>
          <w:b/>
          <w:bCs/>
          <w:kern w:val="2"/>
          <w:lang w:val="pt-BR"/>
          <w14:ligatures w14:val="standardContextual"/>
        </w:rPr>
        <w:t xml:space="preserve">Questão </w:t>
      </w:r>
      <w:r w:rsidR="00D5145C">
        <w:rPr>
          <w:rFonts w:ascii="Calibri" w:eastAsiaTheme="minorHAnsi" w:hAnsi="Calibri" w:cs="Calibri"/>
          <w:b/>
          <w:bCs/>
          <w:kern w:val="2"/>
          <w:lang w:val="pt-BR"/>
          <w14:ligatures w14:val="standardContextual"/>
        </w:rPr>
        <w:t>1</w:t>
      </w:r>
      <w:r w:rsidRPr="00E54651">
        <w:rPr>
          <w:rFonts w:ascii="Calibri" w:eastAsiaTheme="minorHAnsi" w:hAnsi="Calibri" w:cs="Calibri"/>
          <w:b/>
          <w:bCs/>
          <w:kern w:val="2"/>
          <w:lang w:val="pt-BR"/>
          <w14:ligatures w14:val="standardContextual"/>
        </w:rPr>
        <w:t xml:space="preserve"> (USP 2023)</w:t>
      </w:r>
    </w:p>
    <w:p w14:paraId="2114F15E"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No ultrassom morfológico de uma gestação, foram identificados restrição de crescimento intrauterino, posição anormal das mãos, com mãos cerradas, polidrâmnio, micrognatia e, no ecocardiograma fetal, comunicação interventricular. Qual a síndrome genética relacionada a essas malformações? </w:t>
      </w:r>
    </w:p>
    <w:p w14:paraId="3B7C5786"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A) Trissomia do cromossomo 18. </w:t>
      </w:r>
    </w:p>
    <w:p w14:paraId="2C36883F"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B) Trissomia do cromossomo 21. </w:t>
      </w:r>
    </w:p>
    <w:p w14:paraId="4315A730"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C) Síndrome de Noonan. </w:t>
      </w:r>
    </w:p>
    <w:p w14:paraId="30BBAF29"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D) Síndrome de Turner.</w:t>
      </w:r>
    </w:p>
    <w:p w14:paraId="2B3B7FC1"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p>
    <w:p w14:paraId="24A0CA02" w14:textId="0BADEF5E" w:rsidR="00E54651" w:rsidRPr="00E54651" w:rsidRDefault="00E54651" w:rsidP="00E54651">
      <w:pPr>
        <w:spacing w:line="276" w:lineRule="auto"/>
        <w:jc w:val="both"/>
        <w:rPr>
          <w:rFonts w:ascii="Calibri" w:eastAsiaTheme="minorHAnsi" w:hAnsi="Calibri" w:cs="Calibri"/>
          <w:kern w:val="2"/>
          <w:u w:val="single"/>
          <w:lang w:val="pt-BR"/>
          <w14:ligatures w14:val="standardContextual"/>
        </w:rPr>
      </w:pPr>
      <w:r w:rsidRPr="00E54651">
        <w:rPr>
          <w:rFonts w:ascii="Calibri" w:eastAsiaTheme="minorHAnsi" w:hAnsi="Calibri" w:cs="Calibri"/>
          <w:kern w:val="2"/>
          <w:u w:val="single"/>
          <w:lang w:val="pt-BR"/>
          <w14:ligatures w14:val="standardContextual"/>
        </w:rPr>
        <w:t xml:space="preserve">Comentário da questão </w:t>
      </w:r>
      <w:r w:rsidR="00D5145C">
        <w:rPr>
          <w:rFonts w:ascii="Calibri" w:eastAsiaTheme="minorHAnsi" w:hAnsi="Calibri" w:cs="Calibri"/>
          <w:kern w:val="2"/>
          <w:u w:val="single"/>
          <w:lang w:val="pt-BR"/>
          <w14:ligatures w14:val="standardContextual"/>
        </w:rPr>
        <w:t>1</w:t>
      </w:r>
      <w:r w:rsidRPr="00E54651">
        <w:rPr>
          <w:rFonts w:ascii="Calibri" w:eastAsiaTheme="minorHAnsi" w:hAnsi="Calibri" w:cs="Calibri"/>
          <w:kern w:val="2"/>
          <w:u w:val="single"/>
          <w:lang w:val="pt-BR"/>
          <w14:ligatures w14:val="standardContextual"/>
        </w:rPr>
        <w:t>:</w:t>
      </w:r>
    </w:p>
    <w:p w14:paraId="6D376225" w14:textId="2B25F32F" w:rsidR="00E54651" w:rsidRDefault="00E54651" w:rsidP="00E54651">
      <w:pPr>
        <w:spacing w:line="276" w:lineRule="auto"/>
        <w:jc w:val="both"/>
        <w:rPr>
          <w:rFonts w:ascii="Calibri" w:eastAsiaTheme="minorHAnsi" w:hAnsi="Calibri" w:cs="Calibri"/>
          <w:kern w:val="2"/>
          <w:lang w:val="pt-BR"/>
          <w14:ligatures w14:val="standardContextual"/>
        </w:rPr>
      </w:pPr>
      <w:r w:rsidRPr="00E54651">
        <w:rPr>
          <w:rFonts w:ascii="Calibri" w:eastAsiaTheme="minorHAnsi" w:hAnsi="Calibri" w:cs="Calibri"/>
          <w:kern w:val="2"/>
          <w:lang w:val="pt-BR"/>
          <w14:ligatures w14:val="standardContextual"/>
        </w:rPr>
        <w:t>A trissomia do cromossomo 18, também conhecida como síndrome de Edwards, apresenta características como restrição de crescimento intrauterino, polidrâmnio, micrognatia (mandíbula pequena), mãos com posição anormal (mãos cerradas com sobreposição dos dedos</w:t>
      </w:r>
      <w:r w:rsidR="00B73679">
        <w:rPr>
          <w:rFonts w:ascii="Calibri" w:eastAsiaTheme="minorHAnsi" w:hAnsi="Calibri" w:cs="Calibri"/>
          <w:kern w:val="2"/>
          <w:lang w:val="pt-BR"/>
          <w14:ligatures w14:val="standardContextual"/>
        </w:rPr>
        <w:t xml:space="preserve"> - clinodactilia</w:t>
      </w:r>
      <w:r w:rsidRPr="00E54651">
        <w:rPr>
          <w:rFonts w:ascii="Calibri" w:eastAsiaTheme="minorHAnsi" w:hAnsi="Calibri" w:cs="Calibri"/>
          <w:kern w:val="2"/>
          <w:lang w:val="pt-BR"/>
          <w14:ligatures w14:val="standardContextual"/>
        </w:rPr>
        <w:t xml:space="preserve">), além de anomalias cardíacas, como a comunicação interventricular. Essas são características </w:t>
      </w:r>
      <w:r>
        <w:rPr>
          <w:rFonts w:ascii="Calibri" w:eastAsiaTheme="minorHAnsi" w:hAnsi="Calibri" w:cs="Calibri"/>
          <w:kern w:val="2"/>
          <w:lang w:val="pt-BR"/>
          <w14:ligatures w14:val="standardContextual"/>
        </w:rPr>
        <w:t xml:space="preserve">associadas a </w:t>
      </w:r>
      <w:r w:rsidRPr="00E54651">
        <w:rPr>
          <w:rFonts w:ascii="Calibri" w:eastAsiaTheme="minorHAnsi" w:hAnsi="Calibri" w:cs="Calibri"/>
          <w:kern w:val="2"/>
          <w:lang w:val="pt-BR"/>
          <w14:ligatures w14:val="standardContextual"/>
        </w:rPr>
        <w:t>essa condição genética.</w:t>
      </w:r>
      <w:r>
        <w:rPr>
          <w:rFonts w:ascii="Calibri" w:eastAsiaTheme="minorHAnsi" w:hAnsi="Calibri" w:cs="Calibri"/>
          <w:kern w:val="2"/>
          <w:lang w:val="pt-BR"/>
          <w14:ligatures w14:val="standardContextual"/>
        </w:rPr>
        <w:t xml:space="preserve"> Desta forma, a </w:t>
      </w:r>
      <w:r w:rsidR="00010E98">
        <w:rPr>
          <w:rFonts w:ascii="Calibri" w:eastAsiaTheme="minorHAnsi" w:hAnsi="Calibri" w:cs="Calibri"/>
          <w:kern w:val="2"/>
          <w:lang w:val="pt-BR"/>
          <w14:ligatures w14:val="standardContextual"/>
        </w:rPr>
        <w:t>alternativa</w:t>
      </w:r>
      <w:r>
        <w:rPr>
          <w:rFonts w:ascii="Calibri" w:eastAsiaTheme="minorHAnsi" w:hAnsi="Calibri" w:cs="Calibri"/>
          <w:kern w:val="2"/>
          <w:lang w:val="pt-BR"/>
          <w14:ligatures w14:val="standardContextual"/>
        </w:rPr>
        <w:t xml:space="preserve"> correta é A.</w:t>
      </w:r>
    </w:p>
    <w:p w14:paraId="6B60C484" w14:textId="77777777" w:rsidR="00E54651" w:rsidRPr="00E54651" w:rsidRDefault="00E54651" w:rsidP="00E54651">
      <w:pPr>
        <w:spacing w:line="276" w:lineRule="auto"/>
        <w:jc w:val="both"/>
        <w:rPr>
          <w:rFonts w:ascii="Calibri" w:eastAsiaTheme="minorHAnsi" w:hAnsi="Calibri" w:cs="Calibri"/>
          <w:kern w:val="2"/>
          <w:lang w:val="pt-BR"/>
          <w14:ligatures w14:val="standardContextual"/>
        </w:rPr>
      </w:pPr>
    </w:p>
    <w:p w14:paraId="61CD2857" w14:textId="6F0BB0CD" w:rsidR="00E54651" w:rsidRPr="00010E98" w:rsidRDefault="00010E98" w:rsidP="00974223">
      <w:pPr>
        <w:spacing w:line="276" w:lineRule="auto"/>
        <w:jc w:val="both"/>
        <w:rPr>
          <w:rFonts w:ascii="Calibri" w:eastAsiaTheme="minorHAnsi" w:hAnsi="Calibri" w:cs="Calibri"/>
          <w:b/>
          <w:bCs/>
          <w:kern w:val="2"/>
          <w:lang w:val="pt-BR"/>
          <w14:ligatures w14:val="standardContextual"/>
        </w:rPr>
      </w:pPr>
      <w:r w:rsidRPr="00010E98">
        <w:rPr>
          <w:rFonts w:ascii="Calibri" w:eastAsiaTheme="minorHAnsi" w:hAnsi="Calibri" w:cs="Calibri"/>
          <w:b/>
          <w:bCs/>
          <w:kern w:val="2"/>
          <w:lang w:val="pt-BR"/>
          <w14:ligatures w14:val="standardContextual"/>
        </w:rPr>
        <w:t xml:space="preserve">Questão </w:t>
      </w:r>
      <w:r w:rsidR="00D5145C">
        <w:rPr>
          <w:rFonts w:ascii="Calibri" w:eastAsiaTheme="minorHAnsi" w:hAnsi="Calibri" w:cs="Calibri"/>
          <w:b/>
          <w:bCs/>
          <w:kern w:val="2"/>
          <w:lang w:val="pt-BR"/>
          <w14:ligatures w14:val="standardContextual"/>
        </w:rPr>
        <w:t>2</w:t>
      </w:r>
      <w:r w:rsidRPr="00010E98">
        <w:rPr>
          <w:rFonts w:ascii="Calibri" w:eastAsiaTheme="minorHAnsi" w:hAnsi="Calibri" w:cs="Calibri"/>
          <w:b/>
          <w:bCs/>
          <w:kern w:val="2"/>
          <w:lang w:val="pt-BR"/>
          <w14:ligatures w14:val="standardContextual"/>
        </w:rPr>
        <w:t xml:space="preserve"> (IAMSPE 2019</w:t>
      </w:r>
      <w:r w:rsidR="00D5145C">
        <w:rPr>
          <w:rFonts w:ascii="Calibri" w:eastAsiaTheme="minorHAnsi" w:hAnsi="Calibri" w:cs="Calibri"/>
          <w:b/>
          <w:bCs/>
          <w:kern w:val="2"/>
          <w:lang w:val="pt-BR"/>
          <w14:ligatures w14:val="standardContextual"/>
        </w:rPr>
        <w:t xml:space="preserve"> – Adaptado</w:t>
      </w:r>
      <w:r w:rsidRPr="00010E98">
        <w:rPr>
          <w:rFonts w:ascii="Calibri" w:eastAsiaTheme="minorHAnsi" w:hAnsi="Calibri" w:cs="Calibri"/>
          <w:b/>
          <w:bCs/>
          <w:kern w:val="2"/>
          <w:lang w:val="pt-BR"/>
          <w14:ligatures w14:val="standardContextual"/>
        </w:rPr>
        <w:t>)</w:t>
      </w:r>
    </w:p>
    <w:p w14:paraId="13BF3C99" w14:textId="43D3D9DE"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 xml:space="preserve">Segundo a American </w:t>
      </w:r>
      <w:proofErr w:type="spellStart"/>
      <w:r w:rsidRPr="00010E98">
        <w:rPr>
          <w:rFonts w:ascii="Calibri" w:eastAsiaTheme="minorHAnsi" w:hAnsi="Calibri" w:cs="Calibri"/>
          <w:kern w:val="2"/>
          <w:lang w:val="pt-BR"/>
          <w14:ligatures w14:val="standardContextual"/>
        </w:rPr>
        <w:t>College</w:t>
      </w:r>
      <w:proofErr w:type="spellEnd"/>
      <w:r w:rsidRPr="00010E98">
        <w:rPr>
          <w:rFonts w:ascii="Calibri" w:eastAsiaTheme="minorHAnsi" w:hAnsi="Calibri" w:cs="Calibri"/>
          <w:kern w:val="2"/>
          <w:lang w:val="pt-BR"/>
          <w14:ligatures w14:val="standardContextual"/>
        </w:rPr>
        <w:t xml:space="preserve"> </w:t>
      </w:r>
      <w:proofErr w:type="spellStart"/>
      <w:r w:rsidRPr="00010E98">
        <w:rPr>
          <w:rFonts w:ascii="Calibri" w:eastAsiaTheme="minorHAnsi" w:hAnsi="Calibri" w:cs="Calibri"/>
          <w:kern w:val="2"/>
          <w:lang w:val="pt-BR"/>
          <w14:ligatures w14:val="standardContextual"/>
        </w:rPr>
        <w:t>of</w:t>
      </w:r>
      <w:proofErr w:type="spellEnd"/>
      <w:r w:rsidRPr="00010E98">
        <w:rPr>
          <w:rFonts w:ascii="Calibri" w:eastAsiaTheme="minorHAnsi" w:hAnsi="Calibri" w:cs="Calibri"/>
          <w:kern w:val="2"/>
          <w:lang w:val="pt-BR"/>
          <w14:ligatures w14:val="standardContextual"/>
        </w:rPr>
        <w:t xml:space="preserve"> </w:t>
      </w:r>
      <w:proofErr w:type="spellStart"/>
      <w:r w:rsidRPr="00010E98">
        <w:rPr>
          <w:rFonts w:ascii="Calibri" w:eastAsiaTheme="minorHAnsi" w:hAnsi="Calibri" w:cs="Calibri"/>
          <w:kern w:val="2"/>
          <w:lang w:val="pt-BR"/>
          <w14:ligatures w14:val="standardContextual"/>
        </w:rPr>
        <w:t>Obstetrics</w:t>
      </w:r>
      <w:proofErr w:type="spellEnd"/>
      <w:r w:rsidRPr="00010E98">
        <w:rPr>
          <w:rFonts w:ascii="Calibri" w:eastAsiaTheme="minorHAnsi" w:hAnsi="Calibri" w:cs="Calibri"/>
          <w:kern w:val="2"/>
          <w:lang w:val="pt-BR"/>
          <w14:ligatures w14:val="standardContextual"/>
        </w:rPr>
        <w:t xml:space="preserve"> </w:t>
      </w:r>
      <w:proofErr w:type="spellStart"/>
      <w:r w:rsidRPr="00010E98">
        <w:rPr>
          <w:rFonts w:ascii="Calibri" w:eastAsiaTheme="minorHAnsi" w:hAnsi="Calibri" w:cs="Calibri"/>
          <w:kern w:val="2"/>
          <w:lang w:val="pt-BR"/>
          <w14:ligatures w14:val="standardContextual"/>
        </w:rPr>
        <w:t>and</w:t>
      </w:r>
      <w:proofErr w:type="spellEnd"/>
      <w:r w:rsidRPr="00010E98">
        <w:rPr>
          <w:rFonts w:ascii="Calibri" w:eastAsiaTheme="minorHAnsi" w:hAnsi="Calibri" w:cs="Calibri"/>
          <w:kern w:val="2"/>
          <w:lang w:val="pt-BR"/>
          <w14:ligatures w14:val="standardContextual"/>
        </w:rPr>
        <w:t xml:space="preserve"> </w:t>
      </w:r>
      <w:proofErr w:type="spellStart"/>
      <w:r w:rsidRPr="00010E98">
        <w:rPr>
          <w:rFonts w:ascii="Calibri" w:eastAsiaTheme="minorHAnsi" w:hAnsi="Calibri" w:cs="Calibri"/>
          <w:kern w:val="2"/>
          <w:lang w:val="pt-BR"/>
          <w14:ligatures w14:val="standardContextual"/>
        </w:rPr>
        <w:t>Gynecologists</w:t>
      </w:r>
      <w:proofErr w:type="spellEnd"/>
      <w:r w:rsidRPr="00010E98">
        <w:rPr>
          <w:rFonts w:ascii="Calibri" w:eastAsiaTheme="minorHAnsi" w:hAnsi="Calibri" w:cs="Calibri"/>
          <w:kern w:val="2"/>
          <w:lang w:val="pt-BR"/>
          <w14:ligatures w14:val="standardContextual"/>
        </w:rPr>
        <w:t xml:space="preserve"> (ACOG, 2015) quanto ao rastreamento das anomalias cromossômicas, é correto afirmar que</w:t>
      </w:r>
      <w:r w:rsidR="00675925">
        <w:rPr>
          <w:rFonts w:ascii="Calibri" w:eastAsiaTheme="minorHAnsi" w:hAnsi="Calibri" w:cs="Calibri"/>
          <w:kern w:val="2"/>
          <w:lang w:val="pt-BR"/>
          <w14:ligatures w14:val="standardContextual"/>
        </w:rPr>
        <w:t>:</w:t>
      </w:r>
    </w:p>
    <w:p w14:paraId="2A8488B5"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A) A detecção do DNA livre circulante no sangue materno (</w:t>
      </w:r>
      <w:proofErr w:type="spellStart"/>
      <w:r w:rsidRPr="00010E98">
        <w:rPr>
          <w:rFonts w:ascii="Calibri" w:eastAsiaTheme="minorHAnsi" w:hAnsi="Calibri" w:cs="Calibri"/>
          <w:kern w:val="2"/>
          <w:lang w:val="pt-BR"/>
          <w14:ligatures w14:val="standardContextual"/>
        </w:rPr>
        <w:t>cfDNA</w:t>
      </w:r>
      <w:proofErr w:type="spellEnd"/>
      <w:r w:rsidRPr="00010E98">
        <w:rPr>
          <w:rFonts w:ascii="Calibri" w:eastAsiaTheme="minorHAnsi" w:hAnsi="Calibri" w:cs="Calibri"/>
          <w:kern w:val="2"/>
          <w:lang w:val="pt-BR"/>
          <w14:ligatures w14:val="standardContextual"/>
        </w:rPr>
        <w:t>) é um teste que pode ser realizado entre 10 semanas e o termo da gestação e constitui a melhor alternativa nos casos de baixo risco para trissomia de cromossomo 21. </w:t>
      </w:r>
    </w:p>
    <w:p w14:paraId="397D5A67"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B) Com a queda dos custos associados à realização do teste de detecção do DNA livre circulante no sangue materno (</w:t>
      </w:r>
      <w:proofErr w:type="spellStart"/>
      <w:r w:rsidRPr="00010E98">
        <w:rPr>
          <w:rFonts w:ascii="Calibri" w:eastAsiaTheme="minorHAnsi" w:hAnsi="Calibri" w:cs="Calibri"/>
          <w:kern w:val="2"/>
          <w:lang w:val="pt-BR"/>
          <w14:ligatures w14:val="standardContextual"/>
        </w:rPr>
        <w:t>cfDNA</w:t>
      </w:r>
      <w:proofErr w:type="spellEnd"/>
      <w:r w:rsidRPr="00010E98">
        <w:rPr>
          <w:rFonts w:ascii="Calibri" w:eastAsiaTheme="minorHAnsi" w:hAnsi="Calibri" w:cs="Calibri"/>
          <w:kern w:val="2"/>
          <w:lang w:val="pt-BR"/>
          <w14:ligatures w14:val="standardContextual"/>
        </w:rPr>
        <w:t>) para rastreamento das anomalias cromossômicas, sua realização universal, inclusive nas gestações de baixo risco para aneuploidias, já é uma realidade. </w:t>
      </w:r>
    </w:p>
    <w:p w14:paraId="1901E24F"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C) A presença de alterações ultrassonográficas, como aumento da translucência nucal na avaliação morfológica de primeiro trimestre, em gestante de 45 anos com antecedentes de aneuploidia, é indicação de pesquisa do DNA livre circulante no sangue materno (</w:t>
      </w:r>
      <w:proofErr w:type="spellStart"/>
      <w:r w:rsidRPr="00010E98">
        <w:rPr>
          <w:rFonts w:ascii="Calibri" w:eastAsiaTheme="minorHAnsi" w:hAnsi="Calibri" w:cs="Calibri"/>
          <w:kern w:val="2"/>
          <w:lang w:val="pt-BR"/>
          <w14:ligatures w14:val="standardContextual"/>
        </w:rPr>
        <w:t>cfDNA</w:t>
      </w:r>
      <w:proofErr w:type="spellEnd"/>
      <w:r w:rsidRPr="00010E98">
        <w:rPr>
          <w:rFonts w:ascii="Calibri" w:eastAsiaTheme="minorHAnsi" w:hAnsi="Calibri" w:cs="Calibri"/>
          <w:kern w:val="2"/>
          <w:lang w:val="pt-BR"/>
          <w14:ligatures w14:val="standardContextual"/>
        </w:rPr>
        <w:t>), preferencialmente à pesquisa do cariótipo por amniocentese, pois é menos invasivo. </w:t>
      </w:r>
    </w:p>
    <w:p w14:paraId="7853AFB6" w14:textId="79EE6B88"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 xml:space="preserve">D) A combinação do rastreamento bioquímico (dosagem da fração beta livre da gonadotrofina coriônica humana e a dosagem de proteína </w:t>
      </w:r>
      <w:proofErr w:type="spellStart"/>
      <w:r w:rsidRPr="00010E98">
        <w:rPr>
          <w:rFonts w:ascii="Calibri" w:eastAsiaTheme="minorHAnsi" w:hAnsi="Calibri" w:cs="Calibri"/>
          <w:kern w:val="2"/>
          <w:lang w:val="pt-BR"/>
          <w14:ligatures w14:val="standardContextual"/>
        </w:rPr>
        <w:t>plasmática-A</w:t>
      </w:r>
      <w:proofErr w:type="spellEnd"/>
      <w:r w:rsidRPr="00010E98">
        <w:rPr>
          <w:rFonts w:ascii="Calibri" w:eastAsiaTheme="minorHAnsi" w:hAnsi="Calibri" w:cs="Calibri"/>
          <w:kern w:val="2"/>
          <w:lang w:val="pt-BR"/>
          <w14:ligatures w14:val="standardContextual"/>
        </w:rPr>
        <w:t xml:space="preserve"> associada à gestação) com a medida da translucência nucal </w:t>
      </w:r>
      <w:r w:rsidR="00B73679">
        <w:rPr>
          <w:rFonts w:ascii="Calibri" w:eastAsiaTheme="minorHAnsi" w:hAnsi="Calibri" w:cs="Calibri"/>
          <w:kern w:val="2"/>
          <w:lang w:val="pt-BR"/>
          <w14:ligatures w14:val="standardContextual"/>
        </w:rPr>
        <w:t xml:space="preserve">e presença de osso nasal </w:t>
      </w:r>
      <w:r w:rsidRPr="00010E98">
        <w:rPr>
          <w:rFonts w:ascii="Calibri" w:eastAsiaTheme="minorHAnsi" w:hAnsi="Calibri" w:cs="Calibri"/>
          <w:kern w:val="2"/>
          <w:lang w:val="pt-BR"/>
          <w14:ligatures w14:val="standardContextual"/>
        </w:rPr>
        <w:t>pela ultrassonografia morfológica, no primeiro trimestre, é um método adequado para o rastreamento das anomalias cromossômicas. </w:t>
      </w:r>
    </w:p>
    <w:p w14:paraId="3D88D01B"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lastRenderedPageBreak/>
        <w:t xml:space="preserve">E) A medida normal da translucência nucal, a presença da </w:t>
      </w:r>
      <w:proofErr w:type="spellStart"/>
      <w:r w:rsidRPr="00010E98">
        <w:rPr>
          <w:rFonts w:ascii="Calibri" w:eastAsiaTheme="minorHAnsi" w:hAnsi="Calibri" w:cs="Calibri"/>
          <w:kern w:val="2"/>
          <w:lang w:val="pt-BR"/>
          <w14:ligatures w14:val="standardContextual"/>
        </w:rPr>
        <w:t>onda-A</w:t>
      </w:r>
      <w:proofErr w:type="spellEnd"/>
      <w:r w:rsidRPr="00010E98">
        <w:rPr>
          <w:rFonts w:ascii="Calibri" w:eastAsiaTheme="minorHAnsi" w:hAnsi="Calibri" w:cs="Calibri"/>
          <w:kern w:val="2"/>
          <w:lang w:val="pt-BR"/>
          <w14:ligatures w14:val="standardContextual"/>
        </w:rPr>
        <w:t xml:space="preserve"> reversa no ducto venoso, a ausência do osso nasal e a regurgitação da tricúspide pelo Doppler pulsátil são marcadores ultrassonográficos de normalidade cromossômica no primeiro trimestre.</w:t>
      </w:r>
    </w:p>
    <w:p w14:paraId="44A4605E"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p>
    <w:p w14:paraId="7111D7B4" w14:textId="1DED6778" w:rsidR="00010E98" w:rsidRPr="00C65F87" w:rsidRDefault="00010E98" w:rsidP="00010E98">
      <w:pPr>
        <w:spacing w:line="276" w:lineRule="auto"/>
        <w:jc w:val="both"/>
        <w:rPr>
          <w:rFonts w:ascii="Calibri" w:eastAsiaTheme="minorHAnsi" w:hAnsi="Calibri" w:cs="Calibri"/>
          <w:kern w:val="2"/>
          <w:u w:val="single"/>
          <w:lang w:val="pt-BR"/>
          <w14:ligatures w14:val="standardContextual"/>
        </w:rPr>
      </w:pPr>
      <w:r w:rsidRPr="00C65F87">
        <w:rPr>
          <w:rFonts w:ascii="Calibri" w:eastAsiaTheme="minorHAnsi" w:hAnsi="Calibri" w:cs="Calibri"/>
          <w:kern w:val="2"/>
          <w:u w:val="single"/>
          <w:lang w:val="pt-BR"/>
          <w14:ligatures w14:val="standardContextual"/>
        </w:rPr>
        <w:t xml:space="preserve">Comentário da questão </w:t>
      </w:r>
      <w:r w:rsidR="00D5145C">
        <w:rPr>
          <w:rFonts w:ascii="Calibri" w:eastAsiaTheme="minorHAnsi" w:hAnsi="Calibri" w:cs="Calibri"/>
          <w:kern w:val="2"/>
          <w:u w:val="single"/>
          <w:lang w:val="pt-BR"/>
          <w14:ligatures w14:val="standardContextual"/>
        </w:rPr>
        <w:t>2</w:t>
      </w:r>
      <w:r w:rsidRPr="00C65F87">
        <w:rPr>
          <w:rFonts w:ascii="Calibri" w:eastAsiaTheme="minorHAnsi" w:hAnsi="Calibri" w:cs="Calibri"/>
          <w:kern w:val="2"/>
          <w:u w:val="single"/>
          <w:lang w:val="pt-BR"/>
          <w14:ligatures w14:val="standardContextual"/>
        </w:rPr>
        <w:t>:</w:t>
      </w:r>
    </w:p>
    <w:p w14:paraId="4344DE91" w14:textId="1C8F5D25" w:rsid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 xml:space="preserve">A combinação de testes bioquímicos, como a dosagem da fração beta livre da gonadotrofina coriônica humana (beta-hCG livre) e a proteína plasmática-A associada à gestação (PAPP-A), com a medida da translucência nucal </w:t>
      </w:r>
      <w:r w:rsidR="00B73679">
        <w:rPr>
          <w:rFonts w:ascii="Calibri" w:eastAsiaTheme="minorHAnsi" w:hAnsi="Calibri" w:cs="Calibri"/>
          <w:kern w:val="2"/>
          <w:lang w:val="pt-BR"/>
          <w14:ligatures w14:val="standardContextual"/>
        </w:rPr>
        <w:t xml:space="preserve">e avaliação do osso nasal </w:t>
      </w:r>
      <w:r w:rsidRPr="00010E98">
        <w:rPr>
          <w:rFonts w:ascii="Calibri" w:eastAsiaTheme="minorHAnsi" w:hAnsi="Calibri" w:cs="Calibri"/>
          <w:kern w:val="2"/>
          <w:lang w:val="pt-BR"/>
          <w14:ligatures w14:val="standardContextual"/>
        </w:rPr>
        <w:t>na ultrassonografia morfológica do primeiro trimestre, é um método estabelecido e eficaz para identificar gestações de alto risco para anomalias cromossômicas.</w:t>
      </w:r>
      <w:r>
        <w:rPr>
          <w:rFonts w:ascii="Calibri" w:eastAsiaTheme="minorHAnsi" w:hAnsi="Calibri" w:cs="Calibri"/>
          <w:kern w:val="2"/>
          <w:lang w:val="pt-BR"/>
          <w14:ligatures w14:val="standardContextual"/>
        </w:rPr>
        <w:t xml:space="preserve"> Assim, a alternativa correta é D.</w:t>
      </w:r>
    </w:p>
    <w:p w14:paraId="2FAECADD" w14:textId="77777777" w:rsidR="00010E98" w:rsidRDefault="00010E98" w:rsidP="00010E98">
      <w:pPr>
        <w:spacing w:line="276" w:lineRule="auto"/>
        <w:jc w:val="both"/>
        <w:rPr>
          <w:rFonts w:ascii="Calibri" w:eastAsiaTheme="minorHAnsi" w:hAnsi="Calibri" w:cs="Calibri"/>
          <w:kern w:val="2"/>
          <w:lang w:val="pt-BR"/>
          <w14:ligatures w14:val="standardContextual"/>
        </w:rPr>
      </w:pPr>
    </w:p>
    <w:p w14:paraId="7EBCB1C0" w14:textId="256E3EDD" w:rsidR="00010E98" w:rsidRPr="00010E98" w:rsidRDefault="00010E98" w:rsidP="00010E98">
      <w:pPr>
        <w:spacing w:line="276" w:lineRule="auto"/>
        <w:jc w:val="both"/>
        <w:rPr>
          <w:rFonts w:ascii="Calibri" w:eastAsiaTheme="minorHAnsi" w:hAnsi="Calibri" w:cs="Calibri"/>
          <w:b/>
          <w:bCs/>
          <w:kern w:val="2"/>
          <w:lang w:val="pt-BR"/>
          <w14:ligatures w14:val="standardContextual"/>
        </w:rPr>
      </w:pPr>
      <w:r w:rsidRPr="00010E98">
        <w:rPr>
          <w:rFonts w:ascii="Calibri" w:eastAsiaTheme="minorHAnsi" w:hAnsi="Calibri" w:cs="Calibri"/>
          <w:b/>
          <w:bCs/>
          <w:kern w:val="2"/>
          <w:lang w:val="pt-BR"/>
          <w14:ligatures w14:val="standardContextual"/>
        </w:rPr>
        <w:t xml:space="preserve">Questão </w:t>
      </w:r>
      <w:r w:rsidR="00D5145C">
        <w:rPr>
          <w:rFonts w:ascii="Calibri" w:eastAsiaTheme="minorHAnsi" w:hAnsi="Calibri" w:cs="Calibri"/>
          <w:b/>
          <w:bCs/>
          <w:kern w:val="2"/>
          <w:lang w:val="pt-BR"/>
          <w14:ligatures w14:val="standardContextual"/>
        </w:rPr>
        <w:t>3</w:t>
      </w:r>
      <w:r w:rsidRPr="00010E98">
        <w:rPr>
          <w:rFonts w:ascii="Calibri" w:eastAsiaTheme="minorHAnsi" w:hAnsi="Calibri" w:cs="Calibri"/>
          <w:b/>
          <w:bCs/>
          <w:kern w:val="2"/>
          <w:lang w:val="pt-BR"/>
          <w14:ligatures w14:val="standardContextual"/>
        </w:rPr>
        <w:t xml:space="preserve"> (FAMERP 2020)</w:t>
      </w:r>
    </w:p>
    <w:p w14:paraId="74A13646"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Bebê de dois meses foi levado ao pediatra para uma consulta de puericultura. Parece um bebê feliz e está sorrindo para a mãe durante a consulta. Durante o exame físico, você observa que o bebê tem um tônus muscular diminuído. Ele não levanta a cabeça quando está deitado de bruços, e sua cabeça deve estar totalmente apoiada quando está sendo segurado. Além disso, suas pernas são flexíveis parecidas com pernas de sapo. Os reflexos patelares estão ausentes. Parece também que ele não está ganhando peso adequadamente. Foi realizada uma ressonância magnética cerebral, que foi considerada normal. Foi obtido um painel metabólico abrangente, o que também foi normal. A creatinina quinase (CK) está levemente elevada (1,5 × normal). Qual é o próximo passo que o pediatra deve dar? </w:t>
      </w:r>
    </w:p>
    <w:p w14:paraId="67AC1ABB"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A) Tranquilizar a mãe do bebê e explicar-lhe que os filhos se desenvolvem em ritmos diferentes. </w:t>
      </w:r>
    </w:p>
    <w:p w14:paraId="508A6926"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B) Teste genético para atrofia muscular espinhal. </w:t>
      </w:r>
    </w:p>
    <w:p w14:paraId="68F0C240"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C) Colher líquor para pesquisa de pleocitose. </w:t>
      </w:r>
    </w:p>
    <w:p w14:paraId="7758FD38"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r w:rsidRPr="00010E98">
        <w:rPr>
          <w:rFonts w:ascii="Calibri" w:eastAsiaTheme="minorHAnsi" w:hAnsi="Calibri" w:cs="Calibri"/>
          <w:kern w:val="2"/>
          <w:lang w:val="pt-BR"/>
          <w14:ligatures w14:val="standardContextual"/>
        </w:rPr>
        <w:t>D) Solicitar sorologia para poliomielite</w:t>
      </w:r>
    </w:p>
    <w:p w14:paraId="2BF743BB" w14:textId="77777777" w:rsidR="00010E98" w:rsidRPr="00010E98" w:rsidRDefault="00010E98" w:rsidP="00010E98">
      <w:pPr>
        <w:spacing w:line="276" w:lineRule="auto"/>
        <w:jc w:val="both"/>
        <w:rPr>
          <w:rFonts w:ascii="Calibri" w:eastAsiaTheme="minorHAnsi" w:hAnsi="Calibri" w:cs="Calibri"/>
          <w:kern w:val="2"/>
          <w:lang w:val="pt-BR"/>
          <w14:ligatures w14:val="standardContextual"/>
        </w:rPr>
      </w:pPr>
    </w:p>
    <w:p w14:paraId="47EE3679" w14:textId="513AE4BC" w:rsidR="00010E98" w:rsidRPr="001735C2" w:rsidRDefault="001735C2" w:rsidP="00010E98">
      <w:pPr>
        <w:spacing w:line="276" w:lineRule="auto"/>
        <w:jc w:val="both"/>
        <w:rPr>
          <w:rFonts w:ascii="Calibri" w:eastAsiaTheme="minorHAnsi" w:hAnsi="Calibri" w:cs="Calibri"/>
          <w:kern w:val="2"/>
          <w:u w:val="single"/>
          <w:lang w:val="pt-BR"/>
          <w14:ligatures w14:val="standardContextual"/>
        </w:rPr>
      </w:pPr>
      <w:r w:rsidRPr="001735C2">
        <w:rPr>
          <w:rFonts w:ascii="Calibri" w:eastAsiaTheme="minorHAnsi" w:hAnsi="Calibri" w:cs="Calibri"/>
          <w:kern w:val="2"/>
          <w:u w:val="single"/>
          <w:lang w:val="pt-BR"/>
          <w14:ligatures w14:val="standardContextual"/>
        </w:rPr>
        <w:t xml:space="preserve">Comentário da questão </w:t>
      </w:r>
      <w:r w:rsidR="00D5145C">
        <w:rPr>
          <w:rFonts w:ascii="Calibri" w:eastAsiaTheme="minorHAnsi" w:hAnsi="Calibri" w:cs="Calibri"/>
          <w:kern w:val="2"/>
          <w:u w:val="single"/>
          <w:lang w:val="pt-BR"/>
          <w14:ligatures w14:val="standardContextual"/>
        </w:rPr>
        <w:t>3</w:t>
      </w:r>
      <w:r w:rsidRPr="001735C2">
        <w:rPr>
          <w:rFonts w:ascii="Calibri" w:eastAsiaTheme="minorHAnsi" w:hAnsi="Calibri" w:cs="Calibri"/>
          <w:kern w:val="2"/>
          <w:u w:val="single"/>
          <w:lang w:val="pt-BR"/>
          <w14:ligatures w14:val="standardContextual"/>
        </w:rPr>
        <w:t>:</w:t>
      </w:r>
    </w:p>
    <w:p w14:paraId="1FF3399D" w14:textId="08A09263" w:rsidR="00974223" w:rsidRPr="00974223" w:rsidRDefault="001735C2" w:rsidP="00974223">
      <w:pPr>
        <w:spacing w:line="276" w:lineRule="auto"/>
        <w:jc w:val="both"/>
        <w:rPr>
          <w:rFonts w:ascii="Calibri" w:eastAsiaTheme="minorHAnsi" w:hAnsi="Calibri" w:cs="Calibri"/>
          <w:kern w:val="2"/>
          <w:lang w:val="pt-BR"/>
          <w14:ligatures w14:val="standardContextual"/>
        </w:rPr>
      </w:pPr>
      <w:r w:rsidRPr="001735C2">
        <w:rPr>
          <w:rFonts w:ascii="Calibri" w:eastAsiaTheme="minorHAnsi" w:hAnsi="Calibri" w:cs="Calibri"/>
          <w:kern w:val="2"/>
          <w:lang w:val="pt-BR"/>
          <w14:ligatures w14:val="standardContextual"/>
        </w:rPr>
        <w:t>Com base nos sintomas descritos, especialmente o tônus muscular diminuído, falta de ganho de peso adequado, e reflexos patelares ausentes, além da elevação leve da creatinina quinase (CK), há uma suspeita de atrofia muscular espinhal (AME), especialmente do tipo 1 (AME tipo 1). O teste genético pode identificar a mutação específica no gene SMN1 associada à AME, fornecendo um diagnóstico definitivo. Isso é crucial para iniciar intervenções terapêuticas e de suporte o mais cedo possível, uma vez que a AME é uma condição progressiva que pode afetar adversamente o desenvolvimento motor e a qualidade de vida do bebê.</w:t>
      </w:r>
      <w:r>
        <w:rPr>
          <w:rFonts w:ascii="Calibri" w:eastAsiaTheme="minorHAnsi" w:hAnsi="Calibri" w:cs="Calibri"/>
          <w:kern w:val="2"/>
          <w:lang w:val="pt-BR"/>
          <w14:ligatures w14:val="standardContextual"/>
        </w:rPr>
        <w:t xml:space="preserve"> Assim, a resposta está na alternativa B.</w:t>
      </w:r>
    </w:p>
    <w:sectPr w:rsidR="00974223" w:rsidRPr="009742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23"/>
    <w:rsid w:val="0000146D"/>
    <w:rsid w:val="00007488"/>
    <w:rsid w:val="00010E98"/>
    <w:rsid w:val="000228A7"/>
    <w:rsid w:val="0002373F"/>
    <w:rsid w:val="0003586D"/>
    <w:rsid w:val="00037E45"/>
    <w:rsid w:val="0004195A"/>
    <w:rsid w:val="0004628A"/>
    <w:rsid w:val="00054EDC"/>
    <w:rsid w:val="00055F3A"/>
    <w:rsid w:val="000571CE"/>
    <w:rsid w:val="000575F1"/>
    <w:rsid w:val="000616DD"/>
    <w:rsid w:val="0006222E"/>
    <w:rsid w:val="0007148A"/>
    <w:rsid w:val="000726E9"/>
    <w:rsid w:val="00081337"/>
    <w:rsid w:val="00085657"/>
    <w:rsid w:val="00086DF7"/>
    <w:rsid w:val="000959C3"/>
    <w:rsid w:val="000A2A67"/>
    <w:rsid w:val="000A652F"/>
    <w:rsid w:val="000A7F90"/>
    <w:rsid w:val="000C0B97"/>
    <w:rsid w:val="000D43A5"/>
    <w:rsid w:val="000D7A39"/>
    <w:rsid w:val="000E4A7C"/>
    <w:rsid w:val="000F08C7"/>
    <w:rsid w:val="000F1C8C"/>
    <w:rsid w:val="000F37AE"/>
    <w:rsid w:val="00105E6A"/>
    <w:rsid w:val="00110101"/>
    <w:rsid w:val="0011499A"/>
    <w:rsid w:val="00120801"/>
    <w:rsid w:val="0012420E"/>
    <w:rsid w:val="001247B6"/>
    <w:rsid w:val="001354C0"/>
    <w:rsid w:val="00137EE4"/>
    <w:rsid w:val="001413BF"/>
    <w:rsid w:val="0014326F"/>
    <w:rsid w:val="001433BF"/>
    <w:rsid w:val="00154363"/>
    <w:rsid w:val="001627B4"/>
    <w:rsid w:val="00165DDC"/>
    <w:rsid w:val="001735C2"/>
    <w:rsid w:val="00176F3C"/>
    <w:rsid w:val="00185880"/>
    <w:rsid w:val="00190622"/>
    <w:rsid w:val="001A09CE"/>
    <w:rsid w:val="001A6A25"/>
    <w:rsid w:val="001B395B"/>
    <w:rsid w:val="001B4774"/>
    <w:rsid w:val="001B4B89"/>
    <w:rsid w:val="001B4EE6"/>
    <w:rsid w:val="001C0165"/>
    <w:rsid w:val="001C6C14"/>
    <w:rsid w:val="001C780F"/>
    <w:rsid w:val="001D405B"/>
    <w:rsid w:val="001D5739"/>
    <w:rsid w:val="001D78F4"/>
    <w:rsid w:val="001E010F"/>
    <w:rsid w:val="001F43E9"/>
    <w:rsid w:val="00202349"/>
    <w:rsid w:val="002066B5"/>
    <w:rsid w:val="00212929"/>
    <w:rsid w:val="002146FA"/>
    <w:rsid w:val="00215D62"/>
    <w:rsid w:val="00220C8E"/>
    <w:rsid w:val="00222674"/>
    <w:rsid w:val="00223FEA"/>
    <w:rsid w:val="00224D2B"/>
    <w:rsid w:val="00225C1F"/>
    <w:rsid w:val="0023329C"/>
    <w:rsid w:val="00240AAC"/>
    <w:rsid w:val="00243543"/>
    <w:rsid w:val="00250FB5"/>
    <w:rsid w:val="0025356C"/>
    <w:rsid w:val="00264044"/>
    <w:rsid w:val="00266919"/>
    <w:rsid w:val="002672C9"/>
    <w:rsid w:val="0027005E"/>
    <w:rsid w:val="00280620"/>
    <w:rsid w:val="00281D13"/>
    <w:rsid w:val="00284A51"/>
    <w:rsid w:val="002926B5"/>
    <w:rsid w:val="002933C5"/>
    <w:rsid w:val="00297E60"/>
    <w:rsid w:val="002B2416"/>
    <w:rsid w:val="002B5CC4"/>
    <w:rsid w:val="002C3DBC"/>
    <w:rsid w:val="002D0377"/>
    <w:rsid w:val="002D1A91"/>
    <w:rsid w:val="002D7362"/>
    <w:rsid w:val="002D78D0"/>
    <w:rsid w:val="002E1ECA"/>
    <w:rsid w:val="002E2555"/>
    <w:rsid w:val="002F0C7B"/>
    <w:rsid w:val="002F1F49"/>
    <w:rsid w:val="002F70BE"/>
    <w:rsid w:val="002F78AF"/>
    <w:rsid w:val="00303925"/>
    <w:rsid w:val="00311176"/>
    <w:rsid w:val="0032040D"/>
    <w:rsid w:val="00326CD6"/>
    <w:rsid w:val="0033548B"/>
    <w:rsid w:val="00340E5D"/>
    <w:rsid w:val="0034159A"/>
    <w:rsid w:val="003446DA"/>
    <w:rsid w:val="0034598B"/>
    <w:rsid w:val="00355E21"/>
    <w:rsid w:val="00364863"/>
    <w:rsid w:val="00375559"/>
    <w:rsid w:val="0038164B"/>
    <w:rsid w:val="00386547"/>
    <w:rsid w:val="003869AD"/>
    <w:rsid w:val="00390659"/>
    <w:rsid w:val="003932EA"/>
    <w:rsid w:val="00394AE0"/>
    <w:rsid w:val="00394C10"/>
    <w:rsid w:val="003963C7"/>
    <w:rsid w:val="00396AB3"/>
    <w:rsid w:val="003A0AA9"/>
    <w:rsid w:val="003A674A"/>
    <w:rsid w:val="003B7041"/>
    <w:rsid w:val="003C3B6A"/>
    <w:rsid w:val="003C7199"/>
    <w:rsid w:val="003E2C9F"/>
    <w:rsid w:val="003E7C1E"/>
    <w:rsid w:val="003F008C"/>
    <w:rsid w:val="003F322B"/>
    <w:rsid w:val="003F5030"/>
    <w:rsid w:val="004016E1"/>
    <w:rsid w:val="00426AE0"/>
    <w:rsid w:val="00427B6A"/>
    <w:rsid w:val="0043184E"/>
    <w:rsid w:val="004339EC"/>
    <w:rsid w:val="0043506B"/>
    <w:rsid w:val="00444073"/>
    <w:rsid w:val="0044442D"/>
    <w:rsid w:val="00445C9E"/>
    <w:rsid w:val="004512CF"/>
    <w:rsid w:val="00453945"/>
    <w:rsid w:val="00456D81"/>
    <w:rsid w:val="004571BB"/>
    <w:rsid w:val="00460295"/>
    <w:rsid w:val="00462201"/>
    <w:rsid w:val="0047065D"/>
    <w:rsid w:val="004862EB"/>
    <w:rsid w:val="00490B45"/>
    <w:rsid w:val="00491516"/>
    <w:rsid w:val="004925BB"/>
    <w:rsid w:val="004A0814"/>
    <w:rsid w:val="004A615B"/>
    <w:rsid w:val="004A7596"/>
    <w:rsid w:val="004B556B"/>
    <w:rsid w:val="004E13AD"/>
    <w:rsid w:val="004E20ED"/>
    <w:rsid w:val="004E53F6"/>
    <w:rsid w:val="004E6452"/>
    <w:rsid w:val="004F4B31"/>
    <w:rsid w:val="004F4F99"/>
    <w:rsid w:val="004F69F6"/>
    <w:rsid w:val="0050200E"/>
    <w:rsid w:val="00502DE7"/>
    <w:rsid w:val="00507FD4"/>
    <w:rsid w:val="005133A3"/>
    <w:rsid w:val="005207FB"/>
    <w:rsid w:val="005251C1"/>
    <w:rsid w:val="00526435"/>
    <w:rsid w:val="00527828"/>
    <w:rsid w:val="00531CC8"/>
    <w:rsid w:val="00532969"/>
    <w:rsid w:val="0054032D"/>
    <w:rsid w:val="005410F4"/>
    <w:rsid w:val="005411D9"/>
    <w:rsid w:val="00545529"/>
    <w:rsid w:val="00546B6C"/>
    <w:rsid w:val="005513AF"/>
    <w:rsid w:val="00553503"/>
    <w:rsid w:val="00553EB7"/>
    <w:rsid w:val="00555BD6"/>
    <w:rsid w:val="005617E7"/>
    <w:rsid w:val="00565B37"/>
    <w:rsid w:val="00565D53"/>
    <w:rsid w:val="005713E6"/>
    <w:rsid w:val="005725F6"/>
    <w:rsid w:val="005734C9"/>
    <w:rsid w:val="00576EC6"/>
    <w:rsid w:val="00577A74"/>
    <w:rsid w:val="00577DC2"/>
    <w:rsid w:val="0058220F"/>
    <w:rsid w:val="00587BC1"/>
    <w:rsid w:val="005A077A"/>
    <w:rsid w:val="005B2DED"/>
    <w:rsid w:val="005C0523"/>
    <w:rsid w:val="005C4690"/>
    <w:rsid w:val="005D04FC"/>
    <w:rsid w:val="005D4483"/>
    <w:rsid w:val="005E7227"/>
    <w:rsid w:val="005F37C4"/>
    <w:rsid w:val="0061126B"/>
    <w:rsid w:val="0061166C"/>
    <w:rsid w:val="0061565D"/>
    <w:rsid w:val="00616C13"/>
    <w:rsid w:val="0062358D"/>
    <w:rsid w:val="00624496"/>
    <w:rsid w:val="0063482D"/>
    <w:rsid w:val="006357D7"/>
    <w:rsid w:val="00640D7C"/>
    <w:rsid w:val="00642C8D"/>
    <w:rsid w:val="0067233E"/>
    <w:rsid w:val="00673C75"/>
    <w:rsid w:val="00675925"/>
    <w:rsid w:val="006764A2"/>
    <w:rsid w:val="006835AB"/>
    <w:rsid w:val="006859ED"/>
    <w:rsid w:val="00686A31"/>
    <w:rsid w:val="00690FC8"/>
    <w:rsid w:val="00695B5F"/>
    <w:rsid w:val="006A0F61"/>
    <w:rsid w:val="006A1842"/>
    <w:rsid w:val="006B201B"/>
    <w:rsid w:val="006B6237"/>
    <w:rsid w:val="006B7BA8"/>
    <w:rsid w:val="006C6787"/>
    <w:rsid w:val="006D37BB"/>
    <w:rsid w:val="006D58A8"/>
    <w:rsid w:val="006D66A8"/>
    <w:rsid w:val="006E0E4E"/>
    <w:rsid w:val="006E3D82"/>
    <w:rsid w:val="006E75C9"/>
    <w:rsid w:val="006E7CAD"/>
    <w:rsid w:val="006F176C"/>
    <w:rsid w:val="006F1F71"/>
    <w:rsid w:val="0070133C"/>
    <w:rsid w:val="007030A0"/>
    <w:rsid w:val="007031A2"/>
    <w:rsid w:val="00703E90"/>
    <w:rsid w:val="00715B17"/>
    <w:rsid w:val="00716316"/>
    <w:rsid w:val="00717E87"/>
    <w:rsid w:val="00724307"/>
    <w:rsid w:val="00727CFB"/>
    <w:rsid w:val="00730FFB"/>
    <w:rsid w:val="00734CE8"/>
    <w:rsid w:val="00734F6B"/>
    <w:rsid w:val="00735AC9"/>
    <w:rsid w:val="00742AAB"/>
    <w:rsid w:val="00747BE9"/>
    <w:rsid w:val="00752D7E"/>
    <w:rsid w:val="00753831"/>
    <w:rsid w:val="0075566A"/>
    <w:rsid w:val="00764FCC"/>
    <w:rsid w:val="007665D3"/>
    <w:rsid w:val="007748A7"/>
    <w:rsid w:val="0079077A"/>
    <w:rsid w:val="0079267E"/>
    <w:rsid w:val="00796D9E"/>
    <w:rsid w:val="00797C9F"/>
    <w:rsid w:val="007A1153"/>
    <w:rsid w:val="007A7822"/>
    <w:rsid w:val="007A7A41"/>
    <w:rsid w:val="007C2291"/>
    <w:rsid w:val="007D26F0"/>
    <w:rsid w:val="007D4686"/>
    <w:rsid w:val="007D4FFE"/>
    <w:rsid w:val="007D626B"/>
    <w:rsid w:val="007D6AD0"/>
    <w:rsid w:val="007D6AE4"/>
    <w:rsid w:val="007E5E7E"/>
    <w:rsid w:val="007F02B2"/>
    <w:rsid w:val="007F259A"/>
    <w:rsid w:val="007F5DCA"/>
    <w:rsid w:val="008021BB"/>
    <w:rsid w:val="00804568"/>
    <w:rsid w:val="00805A87"/>
    <w:rsid w:val="00811016"/>
    <w:rsid w:val="00811029"/>
    <w:rsid w:val="008132DC"/>
    <w:rsid w:val="00814843"/>
    <w:rsid w:val="00822FF7"/>
    <w:rsid w:val="008336A8"/>
    <w:rsid w:val="00843C91"/>
    <w:rsid w:val="0084421D"/>
    <w:rsid w:val="00847329"/>
    <w:rsid w:val="00852ECF"/>
    <w:rsid w:val="00880C0B"/>
    <w:rsid w:val="00890517"/>
    <w:rsid w:val="008924ED"/>
    <w:rsid w:val="008A6B71"/>
    <w:rsid w:val="008B1DFE"/>
    <w:rsid w:val="008C40DD"/>
    <w:rsid w:val="008C4993"/>
    <w:rsid w:val="008C539A"/>
    <w:rsid w:val="008C6F09"/>
    <w:rsid w:val="008C750E"/>
    <w:rsid w:val="008E2CDB"/>
    <w:rsid w:val="008E6A02"/>
    <w:rsid w:val="008F00E9"/>
    <w:rsid w:val="008F1825"/>
    <w:rsid w:val="008F6C58"/>
    <w:rsid w:val="00917F53"/>
    <w:rsid w:val="009205CD"/>
    <w:rsid w:val="009252DF"/>
    <w:rsid w:val="00926183"/>
    <w:rsid w:val="00926B4A"/>
    <w:rsid w:val="00927D63"/>
    <w:rsid w:val="00930DD0"/>
    <w:rsid w:val="00934DFB"/>
    <w:rsid w:val="00936E4F"/>
    <w:rsid w:val="009405C0"/>
    <w:rsid w:val="00952BBE"/>
    <w:rsid w:val="009578F0"/>
    <w:rsid w:val="009624D4"/>
    <w:rsid w:val="00970346"/>
    <w:rsid w:val="00971D4E"/>
    <w:rsid w:val="00972A6D"/>
    <w:rsid w:val="00974223"/>
    <w:rsid w:val="00977518"/>
    <w:rsid w:val="00977D9A"/>
    <w:rsid w:val="00983754"/>
    <w:rsid w:val="00983E24"/>
    <w:rsid w:val="00985996"/>
    <w:rsid w:val="009860D4"/>
    <w:rsid w:val="0099066F"/>
    <w:rsid w:val="00997FA8"/>
    <w:rsid w:val="009A1A83"/>
    <w:rsid w:val="009A1CEE"/>
    <w:rsid w:val="009A1DEC"/>
    <w:rsid w:val="009B16FF"/>
    <w:rsid w:val="009B65B0"/>
    <w:rsid w:val="009B6D5E"/>
    <w:rsid w:val="009C12F7"/>
    <w:rsid w:val="009C34FD"/>
    <w:rsid w:val="009C5B4C"/>
    <w:rsid w:val="009D188E"/>
    <w:rsid w:val="009E561A"/>
    <w:rsid w:val="009F057F"/>
    <w:rsid w:val="009F1A04"/>
    <w:rsid w:val="009F3DE7"/>
    <w:rsid w:val="009F6BCE"/>
    <w:rsid w:val="009F73CF"/>
    <w:rsid w:val="00A02A0B"/>
    <w:rsid w:val="00A03305"/>
    <w:rsid w:val="00A078F4"/>
    <w:rsid w:val="00A20C15"/>
    <w:rsid w:val="00A23987"/>
    <w:rsid w:val="00A2489C"/>
    <w:rsid w:val="00A30B96"/>
    <w:rsid w:val="00A33626"/>
    <w:rsid w:val="00A33C68"/>
    <w:rsid w:val="00A63612"/>
    <w:rsid w:val="00A7323D"/>
    <w:rsid w:val="00A75CA7"/>
    <w:rsid w:val="00A76D14"/>
    <w:rsid w:val="00A81127"/>
    <w:rsid w:val="00A846EE"/>
    <w:rsid w:val="00A9286F"/>
    <w:rsid w:val="00A96D24"/>
    <w:rsid w:val="00A96F9E"/>
    <w:rsid w:val="00A97180"/>
    <w:rsid w:val="00A9749D"/>
    <w:rsid w:val="00A97F99"/>
    <w:rsid w:val="00AC0879"/>
    <w:rsid w:val="00AC7222"/>
    <w:rsid w:val="00AD1D9C"/>
    <w:rsid w:val="00AD1DC3"/>
    <w:rsid w:val="00AD5A5A"/>
    <w:rsid w:val="00AD5B37"/>
    <w:rsid w:val="00B041C4"/>
    <w:rsid w:val="00B1611C"/>
    <w:rsid w:val="00B2092E"/>
    <w:rsid w:val="00B22D15"/>
    <w:rsid w:val="00B26777"/>
    <w:rsid w:val="00B31E9E"/>
    <w:rsid w:val="00B336A9"/>
    <w:rsid w:val="00B34820"/>
    <w:rsid w:val="00B422E6"/>
    <w:rsid w:val="00B43217"/>
    <w:rsid w:val="00B4371D"/>
    <w:rsid w:val="00B45F40"/>
    <w:rsid w:val="00B47DA8"/>
    <w:rsid w:val="00B5118B"/>
    <w:rsid w:val="00B51B9B"/>
    <w:rsid w:val="00B546AA"/>
    <w:rsid w:val="00B57AAE"/>
    <w:rsid w:val="00B60DD5"/>
    <w:rsid w:val="00B708E1"/>
    <w:rsid w:val="00B73679"/>
    <w:rsid w:val="00B77C32"/>
    <w:rsid w:val="00B830D2"/>
    <w:rsid w:val="00B83E62"/>
    <w:rsid w:val="00B85823"/>
    <w:rsid w:val="00B94EF9"/>
    <w:rsid w:val="00B95F32"/>
    <w:rsid w:val="00B96C77"/>
    <w:rsid w:val="00B978B5"/>
    <w:rsid w:val="00BA34BB"/>
    <w:rsid w:val="00BB0126"/>
    <w:rsid w:val="00BB380B"/>
    <w:rsid w:val="00BB3F05"/>
    <w:rsid w:val="00BB4B4B"/>
    <w:rsid w:val="00BB5CF4"/>
    <w:rsid w:val="00BC2D6E"/>
    <w:rsid w:val="00BD16FF"/>
    <w:rsid w:val="00BD1961"/>
    <w:rsid w:val="00BE674C"/>
    <w:rsid w:val="00BE6B7D"/>
    <w:rsid w:val="00BF3026"/>
    <w:rsid w:val="00C03D61"/>
    <w:rsid w:val="00C03EE6"/>
    <w:rsid w:val="00C05DD6"/>
    <w:rsid w:val="00C12A15"/>
    <w:rsid w:val="00C14AC7"/>
    <w:rsid w:val="00C17428"/>
    <w:rsid w:val="00C20524"/>
    <w:rsid w:val="00C21E97"/>
    <w:rsid w:val="00C26B72"/>
    <w:rsid w:val="00C3632E"/>
    <w:rsid w:val="00C377BA"/>
    <w:rsid w:val="00C4311D"/>
    <w:rsid w:val="00C54633"/>
    <w:rsid w:val="00C6138C"/>
    <w:rsid w:val="00C62F7A"/>
    <w:rsid w:val="00C659F3"/>
    <w:rsid w:val="00C65F87"/>
    <w:rsid w:val="00C67BE4"/>
    <w:rsid w:val="00C85C94"/>
    <w:rsid w:val="00C96237"/>
    <w:rsid w:val="00C97143"/>
    <w:rsid w:val="00CA250F"/>
    <w:rsid w:val="00CA4324"/>
    <w:rsid w:val="00CB5D90"/>
    <w:rsid w:val="00CB7239"/>
    <w:rsid w:val="00CC2985"/>
    <w:rsid w:val="00CC56B0"/>
    <w:rsid w:val="00CC59C0"/>
    <w:rsid w:val="00CC7481"/>
    <w:rsid w:val="00CD0774"/>
    <w:rsid w:val="00CE0246"/>
    <w:rsid w:val="00CE4BF6"/>
    <w:rsid w:val="00CE60EC"/>
    <w:rsid w:val="00CE6C6C"/>
    <w:rsid w:val="00CF0D7F"/>
    <w:rsid w:val="00D006C6"/>
    <w:rsid w:val="00D06570"/>
    <w:rsid w:val="00D07E48"/>
    <w:rsid w:val="00D10732"/>
    <w:rsid w:val="00D14B2D"/>
    <w:rsid w:val="00D1701B"/>
    <w:rsid w:val="00D24716"/>
    <w:rsid w:val="00D31308"/>
    <w:rsid w:val="00D32DF0"/>
    <w:rsid w:val="00D36EEC"/>
    <w:rsid w:val="00D41376"/>
    <w:rsid w:val="00D41B1C"/>
    <w:rsid w:val="00D42B4D"/>
    <w:rsid w:val="00D46BEF"/>
    <w:rsid w:val="00D5145C"/>
    <w:rsid w:val="00D55F23"/>
    <w:rsid w:val="00D60C24"/>
    <w:rsid w:val="00D6422D"/>
    <w:rsid w:val="00D7323F"/>
    <w:rsid w:val="00D7412B"/>
    <w:rsid w:val="00D7556B"/>
    <w:rsid w:val="00D77516"/>
    <w:rsid w:val="00D856ED"/>
    <w:rsid w:val="00D8672D"/>
    <w:rsid w:val="00D93F0D"/>
    <w:rsid w:val="00D958B9"/>
    <w:rsid w:val="00DA4080"/>
    <w:rsid w:val="00DA63EF"/>
    <w:rsid w:val="00DA6F06"/>
    <w:rsid w:val="00DB58B4"/>
    <w:rsid w:val="00DC239B"/>
    <w:rsid w:val="00DC49CF"/>
    <w:rsid w:val="00DD17DD"/>
    <w:rsid w:val="00DD548A"/>
    <w:rsid w:val="00DF163F"/>
    <w:rsid w:val="00DF4278"/>
    <w:rsid w:val="00DF71EF"/>
    <w:rsid w:val="00E0590D"/>
    <w:rsid w:val="00E161DC"/>
    <w:rsid w:val="00E26204"/>
    <w:rsid w:val="00E26424"/>
    <w:rsid w:val="00E26C7F"/>
    <w:rsid w:val="00E312A1"/>
    <w:rsid w:val="00E37D02"/>
    <w:rsid w:val="00E408E3"/>
    <w:rsid w:val="00E40F18"/>
    <w:rsid w:val="00E4475F"/>
    <w:rsid w:val="00E54651"/>
    <w:rsid w:val="00E5717A"/>
    <w:rsid w:val="00E57DA9"/>
    <w:rsid w:val="00E57F06"/>
    <w:rsid w:val="00E64031"/>
    <w:rsid w:val="00E65F83"/>
    <w:rsid w:val="00E66B7F"/>
    <w:rsid w:val="00E716E8"/>
    <w:rsid w:val="00E75AE6"/>
    <w:rsid w:val="00E83723"/>
    <w:rsid w:val="00E90584"/>
    <w:rsid w:val="00E93A64"/>
    <w:rsid w:val="00EA3FBF"/>
    <w:rsid w:val="00EA70C3"/>
    <w:rsid w:val="00EB2F47"/>
    <w:rsid w:val="00EC012B"/>
    <w:rsid w:val="00EC1DD0"/>
    <w:rsid w:val="00ED2662"/>
    <w:rsid w:val="00EF553B"/>
    <w:rsid w:val="00F04716"/>
    <w:rsid w:val="00F05413"/>
    <w:rsid w:val="00F0681D"/>
    <w:rsid w:val="00F10999"/>
    <w:rsid w:val="00F13201"/>
    <w:rsid w:val="00F1438A"/>
    <w:rsid w:val="00F23563"/>
    <w:rsid w:val="00F3183C"/>
    <w:rsid w:val="00F32005"/>
    <w:rsid w:val="00F36DC1"/>
    <w:rsid w:val="00F402D4"/>
    <w:rsid w:val="00F420C5"/>
    <w:rsid w:val="00F44AFC"/>
    <w:rsid w:val="00F45DD9"/>
    <w:rsid w:val="00F57A9D"/>
    <w:rsid w:val="00F64DF2"/>
    <w:rsid w:val="00F66632"/>
    <w:rsid w:val="00F77B9B"/>
    <w:rsid w:val="00F80CCC"/>
    <w:rsid w:val="00F848B8"/>
    <w:rsid w:val="00F86157"/>
    <w:rsid w:val="00F8799C"/>
    <w:rsid w:val="00FA09E8"/>
    <w:rsid w:val="00FA401C"/>
    <w:rsid w:val="00FA5EC7"/>
    <w:rsid w:val="00FA64C9"/>
    <w:rsid w:val="00FB37C5"/>
    <w:rsid w:val="00FD0BB2"/>
    <w:rsid w:val="00FD4E7F"/>
    <w:rsid w:val="00FE02E5"/>
    <w:rsid w:val="00FE229F"/>
    <w:rsid w:val="00FE2C84"/>
    <w:rsid w:val="00FE4073"/>
    <w:rsid w:val="00FF0E9D"/>
    <w:rsid w:val="00FF5387"/>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09D131C1"/>
  <w15:chartTrackingRefBased/>
  <w15:docId w15:val="{DAFA6BB4-D131-B64E-A622-9FA0BDD6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9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7422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7422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74223"/>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74223"/>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74223"/>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74223"/>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74223"/>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74223"/>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74223"/>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223"/>
    <w:rPr>
      <w:rFonts w:eastAsiaTheme="majorEastAsia" w:cstheme="majorBidi"/>
      <w:color w:val="272727" w:themeColor="text1" w:themeTint="D8"/>
    </w:rPr>
  </w:style>
  <w:style w:type="paragraph" w:styleId="Title">
    <w:name w:val="Title"/>
    <w:basedOn w:val="Normal"/>
    <w:next w:val="Normal"/>
    <w:link w:val="TitleChar"/>
    <w:uiPriority w:val="10"/>
    <w:qFormat/>
    <w:rsid w:val="0097422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4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22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74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223"/>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74223"/>
    <w:rPr>
      <w:i/>
      <w:iCs/>
      <w:color w:val="404040" w:themeColor="text1" w:themeTint="BF"/>
    </w:rPr>
  </w:style>
  <w:style w:type="paragraph" w:styleId="ListParagraph">
    <w:name w:val="List Paragraph"/>
    <w:basedOn w:val="Normal"/>
    <w:uiPriority w:val="34"/>
    <w:qFormat/>
    <w:rsid w:val="00974223"/>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74223"/>
    <w:rPr>
      <w:i/>
      <w:iCs/>
      <w:color w:val="0F4761" w:themeColor="accent1" w:themeShade="BF"/>
    </w:rPr>
  </w:style>
  <w:style w:type="paragraph" w:styleId="IntenseQuote">
    <w:name w:val="Intense Quote"/>
    <w:basedOn w:val="Normal"/>
    <w:next w:val="Normal"/>
    <w:link w:val="IntenseQuoteChar"/>
    <w:uiPriority w:val="30"/>
    <w:qFormat/>
    <w:rsid w:val="0097422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74223"/>
    <w:rPr>
      <w:i/>
      <w:iCs/>
      <w:color w:val="0F4761" w:themeColor="accent1" w:themeShade="BF"/>
    </w:rPr>
  </w:style>
  <w:style w:type="character" w:styleId="IntenseReference">
    <w:name w:val="Intense Reference"/>
    <w:basedOn w:val="DefaultParagraphFont"/>
    <w:uiPriority w:val="32"/>
    <w:qFormat/>
    <w:rsid w:val="00974223"/>
    <w:rPr>
      <w:b/>
      <w:bCs/>
      <w:smallCaps/>
      <w:color w:val="0F4761" w:themeColor="accent1" w:themeShade="BF"/>
      <w:spacing w:val="5"/>
    </w:rPr>
  </w:style>
  <w:style w:type="paragraph" w:styleId="NormalWeb">
    <w:name w:val="Normal (Web)"/>
    <w:basedOn w:val="Normal"/>
    <w:uiPriority w:val="99"/>
    <w:semiHidden/>
    <w:unhideWhenUsed/>
    <w:rsid w:val="00974223"/>
    <w:pPr>
      <w:spacing w:before="100" w:beforeAutospacing="1" w:after="100" w:afterAutospacing="1"/>
    </w:pPr>
  </w:style>
  <w:style w:type="paragraph" w:styleId="Revision">
    <w:name w:val="Revision"/>
    <w:hidden/>
    <w:uiPriority w:val="99"/>
    <w:semiHidden/>
    <w:rsid w:val="00B7367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788946">
      <w:bodyDiv w:val="1"/>
      <w:marLeft w:val="0"/>
      <w:marRight w:val="0"/>
      <w:marTop w:val="0"/>
      <w:marBottom w:val="0"/>
      <w:divBdr>
        <w:top w:val="none" w:sz="0" w:space="0" w:color="auto"/>
        <w:left w:val="none" w:sz="0" w:space="0" w:color="auto"/>
        <w:bottom w:val="none" w:sz="0" w:space="0" w:color="auto"/>
        <w:right w:val="none" w:sz="0" w:space="0" w:color="auto"/>
      </w:divBdr>
    </w:div>
    <w:div w:id="1281037188">
      <w:bodyDiv w:val="1"/>
      <w:marLeft w:val="0"/>
      <w:marRight w:val="0"/>
      <w:marTop w:val="0"/>
      <w:marBottom w:val="0"/>
      <w:divBdr>
        <w:top w:val="none" w:sz="0" w:space="0" w:color="auto"/>
        <w:left w:val="none" w:sz="0" w:space="0" w:color="auto"/>
        <w:bottom w:val="none" w:sz="0" w:space="0" w:color="auto"/>
        <w:right w:val="none" w:sz="0" w:space="0" w:color="auto"/>
      </w:divBdr>
    </w:div>
    <w:div w:id="1300381283">
      <w:bodyDiv w:val="1"/>
      <w:marLeft w:val="0"/>
      <w:marRight w:val="0"/>
      <w:marTop w:val="0"/>
      <w:marBottom w:val="0"/>
      <w:divBdr>
        <w:top w:val="none" w:sz="0" w:space="0" w:color="auto"/>
        <w:left w:val="none" w:sz="0" w:space="0" w:color="auto"/>
        <w:bottom w:val="none" w:sz="0" w:space="0" w:color="auto"/>
        <w:right w:val="none" w:sz="0" w:space="0" w:color="auto"/>
      </w:divBdr>
    </w:div>
    <w:div w:id="1303461021">
      <w:bodyDiv w:val="1"/>
      <w:marLeft w:val="0"/>
      <w:marRight w:val="0"/>
      <w:marTop w:val="0"/>
      <w:marBottom w:val="0"/>
      <w:divBdr>
        <w:top w:val="none" w:sz="0" w:space="0" w:color="auto"/>
        <w:left w:val="none" w:sz="0" w:space="0" w:color="auto"/>
        <w:bottom w:val="none" w:sz="0" w:space="0" w:color="auto"/>
        <w:right w:val="none" w:sz="0" w:space="0" w:color="auto"/>
      </w:divBdr>
    </w:div>
    <w:div w:id="194446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Yano Callado</dc:creator>
  <cp:keywords/>
  <dc:description/>
  <cp:lastModifiedBy>Gustavo Yano Callado</cp:lastModifiedBy>
  <cp:revision>4</cp:revision>
  <dcterms:created xsi:type="dcterms:W3CDTF">2024-12-23T01:40:00Z</dcterms:created>
  <dcterms:modified xsi:type="dcterms:W3CDTF">2024-12-28T20:12:00Z</dcterms:modified>
</cp:coreProperties>
</file>