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3A767" w14:textId="77777777" w:rsidR="00420840" w:rsidRDefault="00420840" w:rsidP="00420840">
      <w:pPr>
        <w:jc w:val="both"/>
        <w:rPr>
          <w:rFonts w:ascii="Arial" w:eastAsia="Arial" w:hAnsi="Arial" w:cs="Arial"/>
          <w:color w:val="0D0D0D"/>
          <w:highlight w:val="white"/>
        </w:rPr>
      </w:pPr>
      <w:r>
        <w:rPr>
          <w:rFonts w:ascii="Arial" w:eastAsia="Arial" w:hAnsi="Arial" w:cs="Arial"/>
          <w:color w:val="0D0D0D"/>
          <w:highlight w:val="white"/>
        </w:rPr>
        <w:t>Questões:</w:t>
      </w:r>
    </w:p>
    <w:p w14:paraId="1219D0E5" w14:textId="77777777" w:rsidR="00420840" w:rsidRDefault="00420840" w:rsidP="00420840">
      <w:pPr>
        <w:pBdr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  <w:between w:val="nil"/>
        </w:pBdr>
        <w:shd w:val="clear" w:color="auto" w:fill="FFFFFF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>1-A respeito das nefropatias parenquimatosas difusas, é INCORRETO afirmar que:</w:t>
      </w:r>
    </w:p>
    <w:p w14:paraId="036F96B2" w14:textId="77777777" w:rsidR="00420840" w:rsidRDefault="00420840" w:rsidP="00420840">
      <w:pPr>
        <w:numPr>
          <w:ilvl w:val="0"/>
          <w:numId w:val="1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spacing w:after="0" w:line="240" w:lineRule="auto"/>
        <w:ind w:firstLine="0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>a) A diabetes é uma das causas mais comuns.</w:t>
      </w:r>
    </w:p>
    <w:p w14:paraId="6AF4D24D" w14:textId="77777777" w:rsidR="00420840" w:rsidRDefault="00420840" w:rsidP="00420840">
      <w:pPr>
        <w:numPr>
          <w:ilvl w:val="0"/>
          <w:numId w:val="1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spacing w:after="0" w:line="240" w:lineRule="auto"/>
        <w:ind w:firstLine="0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>b) A hipertensão arterial é um dos fatores que pode levar a essa condição.</w:t>
      </w:r>
    </w:p>
    <w:p w14:paraId="4D34B12F" w14:textId="77777777" w:rsidR="00420840" w:rsidRDefault="00420840" w:rsidP="00420840">
      <w:pPr>
        <w:numPr>
          <w:ilvl w:val="0"/>
          <w:numId w:val="1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spacing w:after="0" w:line="240" w:lineRule="auto"/>
        <w:ind w:firstLine="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c) Estão sempre associadas a uma diminuição da espessura do parênquima.</w:t>
      </w:r>
    </w:p>
    <w:p w14:paraId="797E3069" w14:textId="77777777" w:rsidR="00420840" w:rsidRDefault="00420840" w:rsidP="00420840">
      <w:pPr>
        <w:numPr>
          <w:ilvl w:val="0"/>
          <w:numId w:val="1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spacing w:after="0" w:line="240" w:lineRule="auto"/>
        <w:ind w:firstLine="0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>d) Os rins podem manter dimensões normais ou aumentadas na nefropatia diabética, mesmo em estágios terminais.</w:t>
      </w:r>
    </w:p>
    <w:p w14:paraId="79143243" w14:textId="77777777" w:rsidR="00420840" w:rsidRDefault="00420840" w:rsidP="00420840">
      <w:pPr>
        <w:jc w:val="both"/>
        <w:rPr>
          <w:rFonts w:ascii="Arial" w:eastAsia="Arial" w:hAnsi="Arial" w:cs="Arial"/>
          <w:color w:val="0D0D0D"/>
          <w:highlight w:val="white"/>
        </w:rPr>
      </w:pPr>
    </w:p>
    <w:p w14:paraId="16D939F1" w14:textId="77777777" w:rsidR="00420840" w:rsidRDefault="00420840" w:rsidP="00420840">
      <w:pPr>
        <w:jc w:val="both"/>
        <w:rPr>
          <w:rFonts w:ascii="Arial" w:eastAsia="Arial" w:hAnsi="Arial" w:cs="Arial"/>
          <w:color w:val="0D0D0D"/>
          <w:highlight w:val="white"/>
        </w:rPr>
      </w:pPr>
    </w:p>
    <w:p w14:paraId="269080EF" w14:textId="77777777" w:rsidR="00420840" w:rsidRDefault="00420840" w:rsidP="00420840">
      <w:pPr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 xml:space="preserve">2-A respeito dos nódulos </w:t>
      </w:r>
      <w:proofErr w:type="spellStart"/>
      <w:r>
        <w:rPr>
          <w:rFonts w:ascii="Arial" w:eastAsia="Arial" w:hAnsi="Arial" w:cs="Arial"/>
          <w:color w:val="0D0D0D"/>
        </w:rPr>
        <w:t>hiperecogênicos</w:t>
      </w:r>
      <w:proofErr w:type="spellEnd"/>
      <w:r>
        <w:rPr>
          <w:rFonts w:ascii="Arial" w:eastAsia="Arial" w:hAnsi="Arial" w:cs="Arial"/>
          <w:color w:val="0D0D0D"/>
        </w:rPr>
        <w:t xml:space="preserve"> renais, é INCORRETO afirmar que:</w:t>
      </w:r>
    </w:p>
    <w:p w14:paraId="10AF1503" w14:textId="77777777" w:rsidR="00420840" w:rsidRDefault="00420840" w:rsidP="00420840">
      <w:pPr>
        <w:numPr>
          <w:ilvl w:val="0"/>
          <w:numId w:val="1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spacing w:after="0" w:line="240" w:lineRule="auto"/>
        <w:ind w:firstLine="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a) São achados sempre benignos e não devem causar preocupações.</w:t>
      </w:r>
    </w:p>
    <w:p w14:paraId="27C5D2CE" w14:textId="77777777" w:rsidR="00420840" w:rsidRDefault="00420840" w:rsidP="00420840">
      <w:pPr>
        <w:numPr>
          <w:ilvl w:val="0"/>
          <w:numId w:val="1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spacing w:after="0" w:line="240" w:lineRule="auto"/>
        <w:ind w:firstLine="0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 xml:space="preserve">b) Normalmente correspondem à </w:t>
      </w:r>
      <w:proofErr w:type="spellStart"/>
      <w:r>
        <w:rPr>
          <w:rFonts w:ascii="Arial" w:eastAsia="Arial" w:hAnsi="Arial" w:cs="Arial"/>
          <w:color w:val="0D0D0D"/>
        </w:rPr>
        <w:t>angiomiolipomas</w:t>
      </w:r>
      <w:proofErr w:type="spellEnd"/>
      <w:r>
        <w:rPr>
          <w:rFonts w:ascii="Arial" w:eastAsia="Arial" w:hAnsi="Arial" w:cs="Arial"/>
          <w:color w:val="0D0D0D"/>
        </w:rPr>
        <w:t>.</w:t>
      </w:r>
    </w:p>
    <w:p w14:paraId="6B3503F2" w14:textId="77777777" w:rsidR="00420840" w:rsidRDefault="00420840" w:rsidP="00420840">
      <w:pPr>
        <w:numPr>
          <w:ilvl w:val="0"/>
          <w:numId w:val="1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spacing w:after="0" w:line="240" w:lineRule="auto"/>
        <w:ind w:firstLine="0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 xml:space="preserve">c) Carcinoma de células renais podem ser </w:t>
      </w:r>
      <w:proofErr w:type="spellStart"/>
      <w:r>
        <w:rPr>
          <w:rFonts w:ascii="Arial" w:eastAsia="Arial" w:hAnsi="Arial" w:cs="Arial"/>
          <w:color w:val="0D0D0D"/>
        </w:rPr>
        <w:t>hiperecogênicos</w:t>
      </w:r>
      <w:proofErr w:type="spellEnd"/>
      <w:r>
        <w:rPr>
          <w:rFonts w:ascii="Arial" w:eastAsia="Arial" w:hAnsi="Arial" w:cs="Arial"/>
          <w:color w:val="0D0D0D"/>
        </w:rPr>
        <w:t xml:space="preserve"> e simular </w:t>
      </w:r>
      <w:proofErr w:type="spellStart"/>
      <w:r>
        <w:rPr>
          <w:rFonts w:ascii="Arial" w:eastAsia="Arial" w:hAnsi="Arial" w:cs="Arial"/>
          <w:color w:val="0D0D0D"/>
        </w:rPr>
        <w:t>angiomiolipomas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</w:p>
    <w:p w14:paraId="6BE55652" w14:textId="77777777" w:rsidR="00420840" w:rsidRDefault="00420840" w:rsidP="00420840">
      <w:pPr>
        <w:numPr>
          <w:ilvl w:val="0"/>
          <w:numId w:val="1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spacing w:after="0" w:line="240" w:lineRule="auto"/>
        <w:ind w:firstLine="0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>d) Quando múltiplos podem estar associados à esclerose tuberosa.</w:t>
      </w:r>
    </w:p>
    <w:p w14:paraId="582D67EC" w14:textId="77777777" w:rsidR="00420840" w:rsidRDefault="00420840" w:rsidP="00420840">
      <w:pPr>
        <w:jc w:val="both"/>
        <w:rPr>
          <w:rFonts w:ascii="Arial" w:eastAsia="Arial" w:hAnsi="Arial" w:cs="Arial"/>
          <w:color w:val="0D0D0D"/>
          <w:highlight w:val="white"/>
        </w:rPr>
      </w:pPr>
    </w:p>
    <w:p w14:paraId="60F8A45F" w14:textId="77777777" w:rsidR="00420840" w:rsidRDefault="00420840" w:rsidP="00420840">
      <w:pPr>
        <w:pBdr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  <w:between w:val="nil"/>
        </w:pBdr>
        <w:shd w:val="clear" w:color="auto" w:fill="FFFFFF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 xml:space="preserve">3-Quanto à </w:t>
      </w:r>
      <w:proofErr w:type="spellStart"/>
      <w:r>
        <w:rPr>
          <w:rFonts w:ascii="Arial" w:eastAsia="Arial" w:hAnsi="Arial" w:cs="Arial"/>
          <w:color w:val="0D0D0D"/>
        </w:rPr>
        <w:t>nefrocalcinose</w:t>
      </w:r>
      <w:proofErr w:type="spellEnd"/>
      <w:r>
        <w:rPr>
          <w:rFonts w:ascii="Arial" w:eastAsia="Arial" w:hAnsi="Arial" w:cs="Arial"/>
          <w:color w:val="0D0D0D"/>
        </w:rPr>
        <w:t xml:space="preserve"> medular é INCORRETO afirmar:</w:t>
      </w:r>
    </w:p>
    <w:p w14:paraId="3DC6AFF9" w14:textId="77777777" w:rsidR="00420840" w:rsidRDefault="00420840" w:rsidP="00420840">
      <w:pPr>
        <w:numPr>
          <w:ilvl w:val="0"/>
          <w:numId w:val="2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spacing w:after="0" w:line="240" w:lineRule="auto"/>
        <w:ind w:firstLine="0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>a) É um achado frequente em exames de rotina de pacientes assintomáticos</w:t>
      </w:r>
    </w:p>
    <w:p w14:paraId="0A59A6AC" w14:textId="77777777" w:rsidR="00420840" w:rsidRDefault="00420840" w:rsidP="00420840">
      <w:pPr>
        <w:numPr>
          <w:ilvl w:val="0"/>
          <w:numId w:val="2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spacing w:after="0" w:line="240" w:lineRule="auto"/>
        <w:ind w:firstLine="0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>b) Hiperparatireoidismo, excesso de vitamina D e acidose tubular distal são causas frequentes.</w:t>
      </w:r>
    </w:p>
    <w:p w14:paraId="2C5BC557" w14:textId="77777777" w:rsidR="00420840" w:rsidRDefault="00420840" w:rsidP="00420840">
      <w:pPr>
        <w:numPr>
          <w:ilvl w:val="0"/>
          <w:numId w:val="2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spacing w:after="0" w:line="240" w:lineRule="auto"/>
        <w:ind w:firstLine="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c) A tomografia é o método mais sensível para a sua identificação.</w:t>
      </w:r>
    </w:p>
    <w:p w14:paraId="57AE5E90" w14:textId="77777777" w:rsidR="00420840" w:rsidRDefault="00420840" w:rsidP="00420840">
      <w:pPr>
        <w:numPr>
          <w:ilvl w:val="0"/>
          <w:numId w:val="2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spacing w:after="0" w:line="240" w:lineRule="auto"/>
        <w:ind w:firstLine="0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>d) Os achados podem ser permanentes mesmo com a tratamento da causa.</w:t>
      </w:r>
    </w:p>
    <w:p w14:paraId="576EB0D9" w14:textId="77777777" w:rsidR="00420840" w:rsidRDefault="00420840" w:rsidP="00420840">
      <w:p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ind w:left="720"/>
        <w:jc w:val="both"/>
        <w:rPr>
          <w:rFonts w:ascii="Arial" w:eastAsia="Arial" w:hAnsi="Arial" w:cs="Arial"/>
          <w:color w:val="0D0D0D"/>
        </w:rPr>
      </w:pPr>
    </w:p>
    <w:p w14:paraId="4C835C4F" w14:textId="77777777" w:rsidR="00420840" w:rsidRDefault="00420840" w:rsidP="00420840">
      <w:pPr>
        <w:jc w:val="both"/>
        <w:rPr>
          <w:rFonts w:ascii="Arial" w:eastAsia="Arial" w:hAnsi="Arial" w:cs="Arial"/>
          <w:color w:val="0D0D0D"/>
          <w:highlight w:val="white"/>
        </w:rPr>
      </w:pPr>
    </w:p>
    <w:p w14:paraId="6679169E" w14:textId="77777777" w:rsidR="00420840" w:rsidRDefault="00420840" w:rsidP="00420840">
      <w:pPr>
        <w:pBdr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  <w:between w:val="nil"/>
        </w:pBdr>
        <w:shd w:val="clear" w:color="auto" w:fill="FFFFFF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>4-A respeito dos cistos renais é INCORRETO afirmar</w:t>
      </w:r>
    </w:p>
    <w:p w14:paraId="4E659605" w14:textId="77777777" w:rsidR="00420840" w:rsidRDefault="00420840" w:rsidP="00420840">
      <w:pPr>
        <w:numPr>
          <w:ilvl w:val="0"/>
          <w:numId w:val="2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spacing w:after="0" w:line="240" w:lineRule="auto"/>
        <w:ind w:firstLine="0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>a) É um achado frequente em exames de rotina de pacientes assintomáticos.</w:t>
      </w:r>
    </w:p>
    <w:p w14:paraId="2A3929DD" w14:textId="77777777" w:rsidR="00420840" w:rsidRDefault="00420840" w:rsidP="00420840">
      <w:pPr>
        <w:numPr>
          <w:ilvl w:val="0"/>
          <w:numId w:val="2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spacing w:after="0" w:line="240" w:lineRule="auto"/>
        <w:ind w:firstLine="0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>b) são incomuns em crianças, e quando presentes podem ser manifestação inicial de ADPKD.</w:t>
      </w:r>
    </w:p>
    <w:p w14:paraId="6E07DA46" w14:textId="77777777" w:rsidR="00420840" w:rsidRDefault="00420840" w:rsidP="00420840">
      <w:pPr>
        <w:numPr>
          <w:ilvl w:val="0"/>
          <w:numId w:val="2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spacing w:after="0" w:line="240" w:lineRule="auto"/>
        <w:ind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c) Carcinoma de células renais podem ser císticos.</w:t>
      </w:r>
    </w:p>
    <w:p w14:paraId="3E4DAB36" w14:textId="77777777" w:rsidR="00420840" w:rsidRDefault="00420840" w:rsidP="00420840">
      <w:pPr>
        <w:numPr>
          <w:ilvl w:val="0"/>
          <w:numId w:val="2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spacing w:after="0" w:line="240" w:lineRule="auto"/>
        <w:ind w:firstLine="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d) </w:t>
      </w:r>
      <w:proofErr w:type="spellStart"/>
      <w:r>
        <w:rPr>
          <w:rFonts w:ascii="Arial" w:eastAsia="Arial" w:hAnsi="Arial" w:cs="Arial"/>
          <w:color w:val="FF0000"/>
        </w:rPr>
        <w:t>nda</w:t>
      </w:r>
      <w:proofErr w:type="spellEnd"/>
    </w:p>
    <w:p w14:paraId="44AE1327" w14:textId="77777777" w:rsidR="00420840" w:rsidRDefault="00420840" w:rsidP="00420840">
      <w:pPr>
        <w:jc w:val="both"/>
        <w:rPr>
          <w:rFonts w:ascii="Arial" w:eastAsia="Arial" w:hAnsi="Arial" w:cs="Arial"/>
          <w:color w:val="0D0D0D"/>
          <w:highlight w:val="white"/>
        </w:rPr>
      </w:pPr>
    </w:p>
    <w:p w14:paraId="6521A585" w14:textId="77777777" w:rsidR="00420840" w:rsidRDefault="00420840" w:rsidP="00420840">
      <w:pPr>
        <w:pBdr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  <w:between w:val="nil"/>
        </w:pBdr>
        <w:shd w:val="clear" w:color="auto" w:fill="FFFFFF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>5-A respeito das doenças policísticas é incorreto afirmar</w:t>
      </w:r>
    </w:p>
    <w:p w14:paraId="56D7BDCD" w14:textId="77777777" w:rsidR="00420840" w:rsidRDefault="00420840" w:rsidP="00420840">
      <w:pPr>
        <w:numPr>
          <w:ilvl w:val="0"/>
          <w:numId w:val="2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spacing w:after="0" w:line="240" w:lineRule="auto"/>
        <w:ind w:firstLine="0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>a) A forma do adulto é frequente, acometendo aproximadamente 1 a cada 1000 pessoas, correspondendo à terceira causa de diálise no nosso meio.</w:t>
      </w:r>
    </w:p>
    <w:p w14:paraId="2D993D30" w14:textId="77777777" w:rsidR="00420840" w:rsidRDefault="00420840" w:rsidP="00420840">
      <w:pPr>
        <w:numPr>
          <w:ilvl w:val="0"/>
          <w:numId w:val="2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spacing w:after="0" w:line="240" w:lineRule="auto"/>
        <w:ind w:firstLine="0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 xml:space="preserve">b) A forma infantil pode estar associada à doença de </w:t>
      </w:r>
      <w:proofErr w:type="spellStart"/>
      <w:r>
        <w:rPr>
          <w:rFonts w:ascii="Arial" w:eastAsia="Arial" w:hAnsi="Arial" w:cs="Arial"/>
          <w:color w:val="0D0D0D"/>
        </w:rPr>
        <w:t>Caroli</w:t>
      </w:r>
      <w:proofErr w:type="spellEnd"/>
      <w:r>
        <w:rPr>
          <w:rFonts w:ascii="Arial" w:eastAsia="Arial" w:hAnsi="Arial" w:cs="Arial"/>
          <w:color w:val="0D0D0D"/>
        </w:rPr>
        <w:t xml:space="preserve"> e também à fibrose </w:t>
      </w:r>
      <w:proofErr w:type="gramStart"/>
      <w:r>
        <w:rPr>
          <w:rFonts w:ascii="Arial" w:eastAsia="Arial" w:hAnsi="Arial" w:cs="Arial"/>
          <w:color w:val="0D0D0D"/>
        </w:rPr>
        <w:t>hepática .</w:t>
      </w:r>
      <w:proofErr w:type="gramEnd"/>
    </w:p>
    <w:p w14:paraId="6ACD1A80" w14:textId="77777777" w:rsidR="00420840" w:rsidRDefault="00420840" w:rsidP="00420840">
      <w:pPr>
        <w:numPr>
          <w:ilvl w:val="0"/>
          <w:numId w:val="2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spacing w:after="0" w:line="240" w:lineRule="auto"/>
        <w:ind w:firstLine="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c) A forma infantil tem transmissão autossômica dominante.</w:t>
      </w:r>
    </w:p>
    <w:p w14:paraId="597E85F4" w14:textId="77777777" w:rsidR="00420840" w:rsidRDefault="00420840" w:rsidP="00420840">
      <w:pPr>
        <w:numPr>
          <w:ilvl w:val="0"/>
          <w:numId w:val="2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</w:pBdr>
        <w:shd w:val="clear" w:color="auto" w:fill="FFFFFF"/>
        <w:spacing w:after="0" w:line="240" w:lineRule="auto"/>
        <w:ind w:firstLine="0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 xml:space="preserve">d) </w:t>
      </w:r>
      <w:proofErr w:type="spellStart"/>
      <w:r>
        <w:rPr>
          <w:rFonts w:ascii="Arial" w:eastAsia="Arial" w:hAnsi="Arial" w:cs="Arial"/>
          <w:color w:val="0D0D0D"/>
        </w:rPr>
        <w:t>nda</w:t>
      </w:r>
      <w:proofErr w:type="spellEnd"/>
    </w:p>
    <w:p w14:paraId="732E4799" w14:textId="77777777" w:rsidR="00684474" w:rsidRDefault="00684474"/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F602DE"/>
    <w:multiLevelType w:val="multilevel"/>
    <w:tmpl w:val="7BA6F7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97952B6"/>
    <w:multiLevelType w:val="multilevel"/>
    <w:tmpl w:val="ABF2E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2531646">
    <w:abstractNumId w:val="1"/>
  </w:num>
  <w:num w:numId="2" w16cid:durableId="90676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40"/>
    <w:rsid w:val="001810BE"/>
    <w:rsid w:val="00420840"/>
    <w:rsid w:val="006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8F20"/>
  <w15:chartTrackingRefBased/>
  <w15:docId w15:val="{25F014FC-123C-408A-8947-CD57A81C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1</cp:revision>
  <dcterms:created xsi:type="dcterms:W3CDTF">2024-07-28T16:37:00Z</dcterms:created>
  <dcterms:modified xsi:type="dcterms:W3CDTF">2024-07-28T16:37:00Z</dcterms:modified>
</cp:coreProperties>
</file>