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D734E5">
      <w:r>
        <w:t>INTERATIVO 3</w:t>
      </w:r>
    </w:p>
    <w:p w:rsidR="00726C5B" w:rsidRDefault="00D734E5" w:rsidP="00D734E5">
      <w:r w:rsidRPr="00D734E5">
        <w:t>A Sociedade de Ressonância Magnética Cardiovascular (SCMR) disponibiliza o documento de padronização de interpretação e pós-processamento de exames de ressonância cardiovascular no qr code ao lado.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32ED2"/>
    <w:rsid w:val="00353713"/>
    <w:rsid w:val="003C7009"/>
    <w:rsid w:val="003E08B4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9145C"/>
    <w:rsid w:val="00D723BA"/>
    <w:rsid w:val="00D734E5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2024-08-19T20:37:00Z</dcterms:created>
  <dcterms:modified xsi:type="dcterms:W3CDTF">2024-08-19T20:37:00Z</dcterms:modified>
</cp:coreProperties>
</file>