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FC1BFB">
      <w:r>
        <w:t>INTERATIVO 1</w:t>
      </w:r>
    </w:p>
    <w:p w:rsidR="00726C5B" w:rsidRDefault="00D723BA" w:rsidP="00D723BA">
      <w:r w:rsidRPr="00D723BA">
        <w:t>Estudo de fluxo pela sequência “Phase-contrast” na valva aórtica e região supravalvar mostrando área de inversão da curva (setas azuis), indicando refluxo e consequentemente insuficiência aórtica.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3E08B4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26C5B"/>
    <w:rsid w:val="00732DAF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723BA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2024-08-19T20:33:00Z</dcterms:created>
  <dcterms:modified xsi:type="dcterms:W3CDTF">2024-08-19T20:33:00Z</dcterms:modified>
</cp:coreProperties>
</file>