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Style w:val="Heading1"/>
        <w:rPr/>
      </w:pPr>
      <w:bookmarkStart w:colFirst="0" w:colLast="0" w:name="_wumnm91vm0ng" w:id="0"/>
      <w:bookmarkEnd w:id="0"/>
      <w:r w:rsidDel="00000000" w:rsidR="00000000" w:rsidRPr="00000000">
        <w:rPr>
          <w:rtl w:val="0"/>
        </w:rPr>
        <w:t xml:space="preserve">MC1 - Fusão esplenorrenal</w:t>
      </w:r>
    </w:p>
    <w:p w:rsidR="00000000" w:rsidDel="00000000" w:rsidP="00000000" w:rsidRDefault="00000000" w:rsidRPr="00000000" w14:paraId="00000002">
      <w:pPr>
        <w:ind w:left="720" w:firstLine="0"/>
        <w:rPr/>
      </w:pPr>
      <w:r w:rsidDel="00000000" w:rsidR="00000000" w:rsidRPr="00000000">
        <w:rPr>
          <w:rtl w:val="0"/>
        </w:rPr>
        <w:t xml:space="preserve">Fusão esplenorrenal</w:t>
      </w:r>
    </w:p>
    <w:p w:rsidR="00000000" w:rsidDel="00000000" w:rsidP="00000000" w:rsidRDefault="00000000" w:rsidRPr="00000000" w14:paraId="00000003">
      <w:pPr>
        <w:ind w:left="720" w:firstLine="0"/>
        <w:rPr/>
      </w:pPr>
      <w:r w:rsidDel="00000000" w:rsidR="00000000" w:rsidRPr="00000000">
        <w:rPr>
          <w:rtl w:val="0"/>
        </w:rPr>
        <w:t xml:space="preserve">Recomendação de artigo: </w:t>
      </w:r>
      <w:hyperlink r:id="rId6">
        <w:r w:rsidDel="00000000" w:rsidR="00000000" w:rsidRPr="00000000">
          <w:rPr>
            <w:rFonts w:ascii="Roboto" w:cs="Roboto" w:eastAsia="Roboto" w:hAnsi="Roboto"/>
            <w:color w:val="0b57d0"/>
            <w:sz w:val="21"/>
            <w:szCs w:val="21"/>
            <w:highlight w:val="white"/>
            <w:rtl w:val="0"/>
          </w:rPr>
          <w:t xml:space="preserve">https://doi.org/10.1148/rg.230224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ind w:left="720" w:firstLine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Style w:val="Heading1"/>
        <w:rPr/>
      </w:pPr>
      <w:bookmarkStart w:colFirst="0" w:colLast="0" w:name="_77zytlo3vrtz" w:id="1"/>
      <w:bookmarkEnd w:id="1"/>
      <w:r w:rsidDel="00000000" w:rsidR="00000000" w:rsidRPr="00000000">
        <w:rPr>
          <w:rtl w:val="0"/>
        </w:rPr>
        <w:t xml:space="preserve">MC2 - Gangrena de Fournier</w:t>
      </w:r>
    </w:p>
    <w:p w:rsidR="00000000" w:rsidDel="00000000" w:rsidP="00000000" w:rsidRDefault="00000000" w:rsidRPr="00000000" w14:paraId="00000006">
      <w:pPr>
        <w:ind w:left="0" w:firstLine="0"/>
        <w:rPr/>
      </w:pPr>
      <w:r w:rsidDel="00000000" w:rsidR="00000000" w:rsidRPr="00000000">
        <w:rPr>
          <w:rtl w:val="0"/>
        </w:rPr>
        <w:t xml:space="preserve">Imagens adicionais de Fournier</w:t>
      </w:r>
    </w:p>
    <w:p w:rsidR="00000000" w:rsidDel="00000000" w:rsidP="00000000" w:rsidRDefault="00000000" w:rsidRPr="00000000" w14:paraId="00000007">
      <w:pPr>
        <w:ind w:left="0" w:firstLine="0"/>
        <w:rPr/>
      </w:pPr>
      <w:r w:rsidDel="00000000" w:rsidR="00000000" w:rsidRPr="00000000">
        <w:rPr>
          <w:rtl w:val="0"/>
        </w:rPr>
        <w:t xml:space="preserve">Imagens MC2 (A-E)</w:t>
      </w:r>
      <w:r w:rsidDel="00000000" w:rsidR="00000000" w:rsidRPr="00000000">
        <w:rPr/>
        <w:drawing>
          <wp:inline distB="114300" distT="114300" distL="114300" distR="114300">
            <wp:extent cx="5731200" cy="4800600"/>
            <wp:effectExtent b="0" l="0" r="0" t="0"/>
            <wp:docPr id="8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800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4457700"/>
            <wp:effectExtent b="0" l="0" r="0" t="0"/>
            <wp:docPr id="2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4483100"/>
            <wp:effectExtent b="0" l="0" r="0" t="0"/>
            <wp:docPr id="12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483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4343400"/>
            <wp:effectExtent b="0" l="0" r="0" t="0"/>
            <wp:docPr id="9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34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pStyle w:val="Heading2"/>
        <w:jc w:val="both"/>
        <w:rPr/>
      </w:pPr>
      <w:bookmarkStart w:colFirst="0" w:colLast="0" w:name="_8ih1b9o55db3" w:id="2"/>
      <w:bookmarkEnd w:id="2"/>
      <w:r w:rsidDel="00000000" w:rsidR="00000000" w:rsidRPr="00000000">
        <w:rPr>
          <w:b w:val="1"/>
          <w:rtl w:val="0"/>
        </w:rPr>
        <w:t xml:space="preserve">Legenda - MC</w:t>
      </w:r>
      <w:r w:rsidDel="00000000" w:rsidR="00000000" w:rsidRPr="00000000">
        <w:rPr>
          <w:b w:val="1"/>
          <w:rtl w:val="0"/>
        </w:rPr>
        <w:t xml:space="preserve">2.</w:t>
      </w:r>
      <w:r w:rsidDel="00000000" w:rsidR="00000000" w:rsidRPr="00000000">
        <w:rPr>
          <w:rtl w:val="0"/>
        </w:rPr>
        <w:t xml:space="preserve"> Gangrena de Fournier. Paciente de 55 anos, dor e hiperemia na região perineal. Antecedentes pessoais de diabetes e hipertensão arterial. Imagens de TC demonstram sinais inflamatórios na região perineal e bolsa testicular caracterizados com focos gasosos de permeio (setas).</w:t>
      </w:r>
    </w:p>
    <w:p w:rsidR="00000000" w:rsidDel="00000000" w:rsidP="00000000" w:rsidRDefault="00000000" w:rsidRPr="00000000" w14:paraId="0000000A">
      <w:pPr>
        <w:ind w:left="0" w:firstLine="0"/>
        <w:jc w:val="both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pStyle w:val="Heading1"/>
        <w:jc w:val="both"/>
        <w:rPr/>
      </w:pPr>
      <w:bookmarkStart w:colFirst="0" w:colLast="0" w:name="_5bozug4r72jl" w:id="3"/>
      <w:bookmarkEnd w:id="3"/>
      <w:r w:rsidDel="00000000" w:rsidR="00000000" w:rsidRPr="00000000">
        <w:rPr>
          <w:rtl w:val="0"/>
        </w:rPr>
        <w:t xml:space="preserve">MC3 - Restos adrenais</w:t>
      </w:r>
    </w:p>
    <w:p w:rsidR="00000000" w:rsidDel="00000000" w:rsidP="00000000" w:rsidRDefault="00000000" w:rsidRPr="00000000" w14:paraId="0000000C">
      <w:pPr>
        <w:ind w:left="0" w:firstLine="0"/>
        <w:jc w:val="both"/>
        <w:rPr/>
      </w:pPr>
      <w:r w:rsidDel="00000000" w:rsidR="00000000" w:rsidRPr="00000000">
        <w:rPr>
          <w:rtl w:val="0"/>
        </w:rPr>
        <w:t xml:space="preserve">Imagens adicionais de restos adrenais</w:t>
      </w:r>
    </w:p>
    <w:p w:rsidR="00000000" w:rsidDel="00000000" w:rsidP="00000000" w:rsidRDefault="00000000" w:rsidRPr="00000000" w14:paraId="0000000D">
      <w:pPr>
        <w:ind w:left="0" w:firstLine="0"/>
        <w:jc w:val="both"/>
        <w:rPr/>
      </w:pPr>
      <w:r w:rsidDel="00000000" w:rsidR="00000000" w:rsidRPr="00000000">
        <w:rPr/>
        <w:drawing>
          <wp:inline distB="114300" distT="114300" distL="114300" distR="114300">
            <wp:extent cx="5731200" cy="3949700"/>
            <wp:effectExtent b="0" l="0" r="0" t="0"/>
            <wp:docPr id="7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949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5143500"/>
            <wp:effectExtent b="0" l="0" r="0" t="0"/>
            <wp:docPr id="14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143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5143500"/>
            <wp:effectExtent b="0" l="0" r="0" t="0"/>
            <wp:docPr id="15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143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5143500"/>
            <wp:effectExtent b="0" l="0" r="0" t="0"/>
            <wp:docPr id="11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143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5143500"/>
            <wp:effectExtent b="0" l="0" r="0" t="0"/>
            <wp:docPr id="3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143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pStyle w:val="Heading2"/>
        <w:jc w:val="both"/>
        <w:rPr/>
      </w:pPr>
      <w:bookmarkStart w:colFirst="0" w:colLast="0" w:name="_ua7lf36fiaxj" w:id="4"/>
      <w:bookmarkEnd w:id="4"/>
      <w:r w:rsidDel="00000000" w:rsidR="00000000" w:rsidRPr="00000000">
        <w:rPr>
          <w:b w:val="1"/>
          <w:rtl w:val="0"/>
        </w:rPr>
        <w:t xml:space="preserve">Legenda - MC 3.</w:t>
      </w:r>
      <w:r w:rsidDel="00000000" w:rsidR="00000000" w:rsidRPr="00000000">
        <w:rPr>
          <w:rtl w:val="0"/>
        </w:rPr>
        <w:t xml:space="preserve"> Restos adrenais. RM imagens ponderadas em T2 (A-axial, B-coronal e C-axial) mostram lesões multilobuladas com baixo sinal adjacente ao mediastino em ambos os testículos (setas). (D,E) Imagens axial pós-contraste demonstram intenso realce das lesões pelo meio de contraste (setas).</w:t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pStyle w:val="Heading1"/>
        <w:rPr/>
      </w:pPr>
      <w:bookmarkStart w:colFirst="0" w:colLast="0" w:name="_4ewrpvgoiym" w:id="5"/>
      <w:bookmarkEnd w:id="5"/>
      <w:r w:rsidDel="00000000" w:rsidR="00000000" w:rsidRPr="00000000">
        <w:rPr>
          <w:rtl w:val="0"/>
        </w:rPr>
        <w:t xml:space="preserve">MC4 - Microlitíase</w:t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  <w:t xml:space="preserve">Recomendação de leitura de artigos sobre microlitíase:</w:t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>
          <w:rFonts w:ascii="Roboto" w:cs="Roboto" w:eastAsia="Roboto" w:hAnsi="Roboto"/>
          <w:sz w:val="21"/>
          <w:szCs w:val="21"/>
        </w:rPr>
      </w:pPr>
      <w:r w:rsidDel="00000000" w:rsidR="00000000" w:rsidRPr="00000000">
        <w:rPr>
          <w:rFonts w:ascii="Roboto" w:cs="Roboto" w:eastAsia="Roboto" w:hAnsi="Roboto"/>
          <w:sz w:val="21"/>
          <w:szCs w:val="21"/>
          <w:rtl w:val="0"/>
        </w:rPr>
        <w:t xml:space="preserve">1. Winter TC, Kim B, Lowrance WT et al: Testicular microlithiasis: What should you recommend? AJR Am J Roentgenol 2016; 206: 1164.</w:t>
      </w:r>
    </w:p>
    <w:p w:rsidR="00000000" w:rsidDel="00000000" w:rsidP="00000000" w:rsidRDefault="00000000" w:rsidRPr="00000000" w14:paraId="00000014">
      <w:pPr>
        <w:rPr>
          <w:rFonts w:ascii="Roboto" w:cs="Roboto" w:eastAsia="Roboto" w:hAnsi="Roboto"/>
          <w:sz w:val="21"/>
          <w:szCs w:val="21"/>
        </w:rPr>
      </w:pPr>
      <w:r w:rsidDel="00000000" w:rsidR="00000000" w:rsidRPr="00000000">
        <w:rPr>
          <w:rFonts w:ascii="Roboto" w:cs="Roboto" w:eastAsia="Roboto" w:hAnsi="Roboto"/>
          <w:sz w:val="21"/>
          <w:szCs w:val="21"/>
          <w:rtl w:val="0"/>
        </w:rPr>
        <w:t xml:space="preserve">2. Wang T, Liu L, Luo J et al: A meta-analysis of the relationship between testicular microlithiasis and incidence of testicular cancer. Urol J 2015; 12: 2057.</w:t>
      </w:r>
    </w:p>
    <w:p w:rsidR="00000000" w:rsidDel="00000000" w:rsidP="00000000" w:rsidRDefault="00000000" w:rsidRPr="00000000" w14:paraId="00000015">
      <w:pPr>
        <w:rPr>
          <w:rFonts w:ascii="Roboto" w:cs="Roboto" w:eastAsia="Roboto" w:hAnsi="Roboto"/>
          <w:sz w:val="21"/>
          <w:szCs w:val="21"/>
        </w:rPr>
      </w:pPr>
      <w:r w:rsidDel="00000000" w:rsidR="00000000" w:rsidRPr="00000000">
        <w:rPr>
          <w:rFonts w:ascii="Roboto" w:cs="Roboto" w:eastAsia="Roboto" w:hAnsi="Roboto"/>
          <w:sz w:val="21"/>
          <w:szCs w:val="21"/>
          <w:rtl w:val="0"/>
        </w:rPr>
        <w:t xml:space="preserve">3. DeCastro BJ, Peterson AC and Costabile RA: 5-year followup study of asymptomatic men with testicular microlithiasis. J Urol 2008; 179: 1420.</w:t>
      </w:r>
    </w:p>
    <w:p w:rsidR="00000000" w:rsidDel="00000000" w:rsidP="00000000" w:rsidRDefault="00000000" w:rsidRPr="00000000" w14:paraId="00000016">
      <w:pPr>
        <w:rPr>
          <w:rFonts w:ascii="Roboto" w:cs="Roboto" w:eastAsia="Roboto" w:hAnsi="Roboto"/>
          <w:sz w:val="21"/>
          <w:szCs w:val="21"/>
        </w:rPr>
      </w:pPr>
      <w:r w:rsidDel="00000000" w:rsidR="00000000" w:rsidRPr="00000000">
        <w:rPr>
          <w:rFonts w:ascii="Roboto" w:cs="Roboto" w:eastAsia="Roboto" w:hAnsi="Roboto"/>
          <w:sz w:val="21"/>
          <w:szCs w:val="21"/>
          <w:rtl w:val="0"/>
        </w:rPr>
        <w:t xml:space="preserve">4. Tan IB, Ang KK, Ching BC et al:  Testicular microlithiasis predicts concurrent testicular germ cell tumors and intratubular germ cell neoplasia of unclassified type in adults: A meta-analysis and systematic review. Cancer 2010; 116: 4520.</w:t>
      </w:r>
    </w:p>
    <w:p w:rsidR="00000000" w:rsidDel="00000000" w:rsidP="00000000" w:rsidRDefault="00000000" w:rsidRPr="00000000" w14:paraId="00000017">
      <w:pPr>
        <w:rPr>
          <w:rFonts w:ascii="Roboto" w:cs="Roboto" w:eastAsia="Roboto" w:hAnsi="Roboto"/>
          <w:sz w:val="21"/>
          <w:szCs w:val="21"/>
        </w:rPr>
      </w:pPr>
      <w:r w:rsidDel="00000000" w:rsidR="00000000" w:rsidRPr="00000000">
        <w:rPr>
          <w:rFonts w:ascii="Roboto" w:cs="Roboto" w:eastAsia="Roboto" w:hAnsi="Roboto"/>
          <w:sz w:val="21"/>
          <w:szCs w:val="21"/>
          <w:rtl w:val="0"/>
        </w:rPr>
        <w:t xml:space="preserve">5. Trout AT, Chow J, McNamara ER, et al. Association between Testicular Microlithiasis and Testicular Neoplasia: Large Multicenter Study in a Pediatric Population. Radiology</w:t>
      </w:r>
    </w:p>
    <w:p w:rsidR="00000000" w:rsidDel="00000000" w:rsidP="00000000" w:rsidRDefault="00000000" w:rsidRPr="00000000" w14:paraId="00000018">
      <w:pPr>
        <w:rPr>
          <w:rFonts w:ascii="Roboto" w:cs="Roboto" w:eastAsia="Roboto" w:hAnsi="Roboto"/>
          <w:sz w:val="21"/>
          <w:szCs w:val="21"/>
        </w:rPr>
      </w:pPr>
      <w:r w:rsidDel="00000000" w:rsidR="00000000" w:rsidRPr="00000000">
        <w:rPr>
          <w:rFonts w:ascii="Roboto" w:cs="Roboto" w:eastAsia="Roboto" w:hAnsi="Roboto"/>
          <w:sz w:val="21"/>
          <w:szCs w:val="21"/>
          <w:rtl w:val="0"/>
        </w:rPr>
        <w:t xml:space="preserve">2017;285(2):576–583.</w:t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Fonts w:ascii="Roboto" w:cs="Roboto" w:eastAsia="Roboto" w:hAnsi="Roboto"/>
          <w:sz w:val="21"/>
          <w:szCs w:val="21"/>
          <w:rtl w:val="0"/>
        </w:rPr>
        <w:t xml:space="preserve">6. Heller HT, Oliff MC, Doubilet PM, O’Leary MP, Benson CB. Testicular microlithiasis: prevalence and association with primary testicular neoplasm. J Clin Ultrasound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pStyle w:val="Heading1"/>
        <w:rPr/>
      </w:pPr>
      <w:bookmarkStart w:colFirst="0" w:colLast="0" w:name="_h20cvtsvqmb0" w:id="6"/>
      <w:bookmarkEnd w:id="6"/>
      <w:r w:rsidDel="00000000" w:rsidR="00000000" w:rsidRPr="00000000">
        <w:rPr>
          <w:rtl w:val="0"/>
        </w:rPr>
        <w:t xml:space="preserve">MC5 - Tabela WHO 2022</w:t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pStyle w:val="Heading2"/>
        <w:rPr/>
      </w:pPr>
      <w:bookmarkStart w:colFirst="0" w:colLast="0" w:name="_a9ggrj2m57qs" w:id="7"/>
      <w:bookmarkEnd w:id="7"/>
      <w:r w:rsidDel="00000000" w:rsidR="00000000" w:rsidRPr="00000000">
        <w:rPr>
          <w:b w:val="1"/>
        </w:rPr>
        <w:drawing>
          <wp:inline distB="114300" distT="114300" distL="114300" distR="114300">
            <wp:extent cx="5731200" cy="5359400"/>
            <wp:effectExtent b="0" l="0" r="0" t="0"/>
            <wp:docPr id="13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359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rtl w:val="0"/>
        </w:rPr>
        <w:t xml:space="preserve">Legenda - MC5.</w:t>
      </w:r>
      <w:r w:rsidDel="00000000" w:rsidR="00000000" w:rsidRPr="00000000">
        <w:rPr>
          <w:rtl w:val="0"/>
        </w:rPr>
        <w:t xml:space="preserve"> Atualização de 2022 da classificação patológica da Organização Mundial da Saúde (OMS) para tumores testiculares.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pStyle w:val="Heading1"/>
        <w:rPr/>
      </w:pPr>
      <w:bookmarkStart w:colFirst="0" w:colLast="0" w:name="_ucg8toa1aajy" w:id="8"/>
      <w:bookmarkEnd w:id="8"/>
      <w:r w:rsidDel="00000000" w:rsidR="00000000" w:rsidRPr="00000000">
        <w:rPr>
          <w:rtl w:val="0"/>
        </w:rPr>
        <w:t xml:space="preserve">MC6 - Seminoma X NCGNS</w:t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tl w:val="0"/>
        </w:rPr>
        <w:t xml:space="preserve">Recomendação de leitura de ilustrações da Radiographics de 2017 sobre as diferentes características entre o seminoma e as neoplasias de células germinativas não seminomatosas (NCGNS).</w:t>
      </w:r>
    </w:p>
    <w:p w:rsidR="00000000" w:rsidDel="00000000" w:rsidP="00000000" w:rsidRDefault="00000000" w:rsidRPr="00000000" w14:paraId="00000021">
      <w:pPr>
        <w:rPr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hyperlink r:id="rId17">
        <w:r w:rsidDel="00000000" w:rsidR="00000000" w:rsidRPr="00000000">
          <w:rPr>
            <w:rFonts w:ascii="Roboto" w:cs="Roboto" w:eastAsia="Roboto" w:hAnsi="Roboto"/>
            <w:color w:val="0b57d0"/>
            <w:sz w:val="21"/>
            <w:szCs w:val="21"/>
            <w:rtl w:val="0"/>
          </w:rPr>
          <w:t xml:space="preserve">https://pubs.rsna.org/doi/abs/10.1148/rg.2017174007?journalCode=radiographics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pStyle w:val="Heading1"/>
        <w:rPr/>
      </w:pPr>
      <w:bookmarkStart w:colFirst="0" w:colLast="0" w:name="_m0d99fp2b3tj" w:id="9"/>
      <w:bookmarkEnd w:id="9"/>
      <w:r w:rsidDel="00000000" w:rsidR="00000000" w:rsidRPr="00000000">
        <w:rPr>
          <w:rtl w:val="0"/>
        </w:rPr>
        <w:t xml:space="preserve">MC7 - Burned-out Tumor</w:t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673600"/>
            <wp:effectExtent b="0" l="0" r="0" t="0"/>
            <wp:docPr id="6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673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02600"/>
            <wp:effectExtent b="0" l="0" r="0" t="0"/>
            <wp:docPr id="1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6032500"/>
            <wp:effectExtent b="0" l="0" r="0" t="0"/>
            <wp:docPr id="5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032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5981700"/>
            <wp:effectExtent b="0" l="0" r="0" t="0"/>
            <wp:docPr id="4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981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pStyle w:val="Heading2"/>
        <w:jc w:val="both"/>
        <w:rPr>
          <w:color w:val="ff0000"/>
        </w:rPr>
      </w:pPr>
      <w:bookmarkStart w:colFirst="0" w:colLast="0" w:name="_9uyhyo6w1icn" w:id="10"/>
      <w:bookmarkEnd w:id="10"/>
      <w:r w:rsidDel="00000000" w:rsidR="00000000" w:rsidRPr="00000000">
        <w:rPr>
          <w:b w:val="1"/>
          <w:rtl w:val="0"/>
        </w:rPr>
        <w:t xml:space="preserve">Legenda - MC7. </w:t>
      </w:r>
      <w:r w:rsidDel="00000000" w:rsidR="00000000" w:rsidRPr="00000000">
        <w:rPr>
          <w:rtl w:val="0"/>
        </w:rPr>
        <w:t xml:space="preserve">Burned-out tumor em paciente masculino de </w:t>
      </w:r>
      <w:r w:rsidDel="00000000" w:rsidR="00000000" w:rsidRPr="00000000">
        <w:rPr>
          <w:rtl w:val="0"/>
        </w:rPr>
        <w:t xml:space="preserve">22 anos com (A) linfonodomegalias retroperitoneais (setas) e (B) PET-FDG com múltiplas lesões hipercaptantes no retroperitônio e pulmonares (setas) confirmadas metástases de TCGNS testicular por biópsia. (C) US bolsa testicular mostra apenas testículo esquerdo atrofiado. (D) RM não evidenciou massa testicular.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pStyle w:val="Heading1"/>
        <w:rPr/>
      </w:pPr>
      <w:bookmarkStart w:colFirst="0" w:colLast="0" w:name="_ix6xyl4vgxc0" w:id="11"/>
      <w:bookmarkEnd w:id="11"/>
      <w:r w:rsidDel="00000000" w:rsidR="00000000" w:rsidRPr="00000000">
        <w:rPr>
          <w:rtl w:val="0"/>
        </w:rPr>
        <w:t xml:space="preserve">MC8 - Tabela estadiamento TNM</w:t>
      </w:r>
    </w:p>
    <w:p w:rsidR="00000000" w:rsidDel="00000000" w:rsidP="00000000" w:rsidRDefault="00000000" w:rsidRPr="00000000" w14:paraId="0000002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279900"/>
            <wp:effectExtent b="0" l="0" r="0" t="0"/>
            <wp:docPr id="10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79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pStyle w:val="Heading2"/>
        <w:rPr/>
      </w:pPr>
      <w:bookmarkStart w:colFirst="0" w:colLast="0" w:name="_f1nvej18zm66" w:id="12"/>
      <w:bookmarkEnd w:id="12"/>
      <w:r w:rsidDel="00000000" w:rsidR="00000000" w:rsidRPr="00000000">
        <w:rPr>
          <w:b w:val="1"/>
          <w:rtl w:val="0"/>
        </w:rPr>
        <w:t xml:space="preserve">Legenda - MC8.</w:t>
      </w:r>
      <w:r w:rsidDel="00000000" w:rsidR="00000000" w:rsidRPr="00000000">
        <w:rPr>
          <w:rtl w:val="0"/>
        </w:rPr>
        <w:t xml:space="preserve"> Tabela de estadiamento TNM para tumores testiculares (adaptada de UICC, 2016, 8a edição).</w:t>
      </w:r>
    </w:p>
    <w:p w:rsidR="00000000" w:rsidDel="00000000" w:rsidP="00000000" w:rsidRDefault="00000000" w:rsidRPr="00000000" w14:paraId="0000002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pStyle w:val="Heading1"/>
        <w:rPr/>
      </w:pPr>
      <w:bookmarkStart w:colFirst="0" w:colLast="0" w:name="_qrelllzdk7f" w:id="13"/>
      <w:bookmarkEnd w:id="13"/>
      <w:r w:rsidDel="00000000" w:rsidR="00000000" w:rsidRPr="00000000">
        <w:rPr>
          <w:rtl w:val="0"/>
        </w:rPr>
        <w:t xml:space="preserve">MC9 - Pseudotumor fibroso</w:t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>
          <w:rtl w:val="0"/>
        </w:rPr>
        <w:t xml:space="preserve">Recomendação de artigo:</w:t>
      </w:r>
    </w:p>
    <w:p w:rsidR="00000000" w:rsidDel="00000000" w:rsidP="00000000" w:rsidRDefault="00000000" w:rsidRPr="00000000" w14:paraId="00000032">
      <w:pPr>
        <w:rPr/>
      </w:pPr>
      <w:r w:rsidDel="00000000" w:rsidR="00000000" w:rsidRPr="00000000">
        <w:rPr>
          <w:rtl w:val="0"/>
        </w:rPr>
        <w:t xml:space="preserve">Outra excelente ilustração da Radiographics da sessão "Cases from the Cooky Jar".</w:t>
      </w:r>
    </w:p>
    <w:p w:rsidR="00000000" w:rsidDel="00000000" w:rsidP="00000000" w:rsidRDefault="00000000" w:rsidRPr="00000000" w14:paraId="00000033">
      <w:pPr>
        <w:ind w:left="0" w:firstLine="0"/>
        <w:jc w:val="both"/>
        <w:rPr/>
      </w:pPr>
      <w:hyperlink r:id="rId23">
        <w:r w:rsidDel="00000000" w:rsidR="00000000" w:rsidRPr="00000000">
          <w:rPr>
            <w:rFonts w:ascii="Open Sans" w:cs="Open Sans" w:eastAsia="Open Sans" w:hAnsi="Open Sans"/>
            <w:color w:val="ac012b"/>
            <w:sz w:val="21"/>
            <w:szCs w:val="21"/>
            <w:highlight w:val="white"/>
            <w:rtl w:val="0"/>
          </w:rPr>
          <w:t xml:space="preserve">https://doi.org/10.1148/rg.2021210031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ind w:lef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ind w:left="0" w:firstLine="0"/>
        <w:jc w:val="both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pStyle w:val="Heading1"/>
        <w:jc w:val="both"/>
        <w:rPr/>
      </w:pPr>
      <w:bookmarkStart w:colFirst="0" w:colLast="0" w:name="_po354vy3ve4z" w:id="14"/>
      <w:bookmarkEnd w:id="14"/>
      <w:r w:rsidDel="00000000" w:rsidR="00000000" w:rsidRPr="00000000">
        <w:rPr>
          <w:rtl w:val="0"/>
        </w:rPr>
        <w:t xml:space="preserve">MC10 - Redesignação sexual</w:t>
      </w:r>
    </w:p>
    <w:p w:rsidR="00000000" w:rsidDel="00000000" w:rsidP="00000000" w:rsidRDefault="00000000" w:rsidRPr="00000000" w14:paraId="00000037">
      <w:pPr>
        <w:ind w:left="0" w:firstLine="0"/>
        <w:rPr/>
      </w:pPr>
      <w:hyperlink r:id="rId24">
        <w:r w:rsidDel="00000000" w:rsidR="00000000" w:rsidRPr="00000000">
          <w:rPr>
            <w:rFonts w:ascii="Open Sans" w:cs="Open Sans" w:eastAsia="Open Sans" w:hAnsi="Open Sans"/>
            <w:color w:val="ac012b"/>
            <w:sz w:val="21"/>
            <w:szCs w:val="21"/>
            <w:highlight w:val="white"/>
            <w:rtl w:val="0"/>
          </w:rPr>
          <w:t xml:space="preserve">https://doi.org/10.1148/rg.2019190010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ind w:firstLine="720"/>
        <w:jc w:val="both"/>
        <w:rPr/>
      </w:pPr>
      <w:r w:rsidDel="00000000" w:rsidR="00000000" w:rsidRPr="00000000">
        <w:rPr>
          <w:rtl w:val="0"/>
        </w:rPr>
        <w:t xml:space="preserve">Artigo de 2019 da Radiographics sobre este tema atual e o papel da radiologia em conhecer as alterações na anatomia e possíveis complicações em cirurgias de feminilização ou masculinização da genitália externa.</w:t>
      </w:r>
    </w:p>
    <w:p w:rsidR="00000000" w:rsidDel="00000000" w:rsidP="00000000" w:rsidRDefault="00000000" w:rsidRPr="00000000" w14:paraId="00000039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jc w:val="both"/>
        <w:rPr/>
      </w:pPr>
      <w:hyperlink r:id="rId25">
        <w:r w:rsidDel="00000000" w:rsidR="00000000" w:rsidRPr="00000000">
          <w:rPr>
            <w:color w:val="1155cc"/>
            <w:u w:val="single"/>
            <w:rtl w:val="0"/>
          </w:rPr>
          <w:t xml:space="preserve">https://pubs.rsna.org/doi/full/10.1148/rg.220124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jc w:val="both"/>
        <w:rPr/>
      </w:pPr>
      <w:r w:rsidDel="00000000" w:rsidR="00000000" w:rsidRPr="00000000">
        <w:rPr>
          <w:rtl w:val="0"/>
        </w:rPr>
        <w:tab/>
        <w:t xml:space="preserve">Outro artigo recente sobre este tema, focado em práticas e recomendações de atendimento radiológico.</w:t>
      </w:r>
    </w:p>
    <w:p w:rsidR="00000000" w:rsidDel="00000000" w:rsidP="00000000" w:rsidRDefault="00000000" w:rsidRPr="00000000" w14:paraId="0000003C">
      <w:pPr>
        <w:ind w:left="0" w:firstLine="0"/>
        <w:jc w:val="both"/>
        <w:rPr/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Robo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  <w:font w:name="Open Sans">
    <w:embedRegular w:fontKey="{00000000-0000-0000-0000-000000000000}" r:id="rId5" w:subsetted="0"/>
    <w:embedBold w:fontKey="{00000000-0000-0000-0000-000000000000}" r:id="rId6" w:subsetted="0"/>
    <w:embedItalic w:fontKey="{00000000-0000-0000-0000-000000000000}" r:id="rId7" w:subsetted="0"/>
    <w:embedBoldItalic w:fontKey="{00000000-0000-0000-0000-000000000000}" r:id="rId8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pt_BR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4.png"/><Relationship Id="rId22" Type="http://schemas.openxmlformats.org/officeDocument/2006/relationships/image" Target="media/image8.png"/><Relationship Id="rId21" Type="http://schemas.openxmlformats.org/officeDocument/2006/relationships/image" Target="media/image5.png"/><Relationship Id="rId24" Type="http://schemas.openxmlformats.org/officeDocument/2006/relationships/hyperlink" Target="https://doi.org/10.1148/rg.2019190010" TargetMode="External"/><Relationship Id="rId23" Type="http://schemas.openxmlformats.org/officeDocument/2006/relationships/hyperlink" Target="https://doi.org/10.1148/rg.2021210031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5.png"/><Relationship Id="rId25" Type="http://schemas.openxmlformats.org/officeDocument/2006/relationships/hyperlink" Target="https://pubs.rsna.org/doi/full/10.1148/rg.220124" TargetMode="External"/><Relationship Id="rId5" Type="http://schemas.openxmlformats.org/officeDocument/2006/relationships/styles" Target="styles.xml"/><Relationship Id="rId6" Type="http://schemas.openxmlformats.org/officeDocument/2006/relationships/hyperlink" Target="https://doi.org/10.1148/rg.230224" TargetMode="External"/><Relationship Id="rId7" Type="http://schemas.openxmlformats.org/officeDocument/2006/relationships/image" Target="media/image2.png"/><Relationship Id="rId8" Type="http://schemas.openxmlformats.org/officeDocument/2006/relationships/image" Target="media/image7.png"/><Relationship Id="rId11" Type="http://schemas.openxmlformats.org/officeDocument/2006/relationships/image" Target="media/image13.png"/><Relationship Id="rId10" Type="http://schemas.openxmlformats.org/officeDocument/2006/relationships/image" Target="media/image12.png"/><Relationship Id="rId13" Type="http://schemas.openxmlformats.org/officeDocument/2006/relationships/image" Target="media/image10.png"/><Relationship Id="rId12" Type="http://schemas.openxmlformats.org/officeDocument/2006/relationships/image" Target="media/image6.png"/><Relationship Id="rId15" Type="http://schemas.openxmlformats.org/officeDocument/2006/relationships/image" Target="media/image11.png"/><Relationship Id="rId14" Type="http://schemas.openxmlformats.org/officeDocument/2006/relationships/image" Target="media/image3.png"/><Relationship Id="rId17" Type="http://schemas.openxmlformats.org/officeDocument/2006/relationships/hyperlink" Target="https://pubs.rsna.org/doi/abs/10.1148/rg.2017174007?journalCode=radiographics" TargetMode="External"/><Relationship Id="rId16" Type="http://schemas.openxmlformats.org/officeDocument/2006/relationships/image" Target="media/image1.jpg"/><Relationship Id="rId19" Type="http://schemas.openxmlformats.org/officeDocument/2006/relationships/image" Target="media/image9.png"/><Relationship Id="rId18" Type="http://schemas.openxmlformats.org/officeDocument/2006/relationships/image" Target="media/image14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oboto-regular.ttf"/><Relationship Id="rId2" Type="http://schemas.openxmlformats.org/officeDocument/2006/relationships/font" Target="fonts/Roboto-bold.ttf"/><Relationship Id="rId3" Type="http://schemas.openxmlformats.org/officeDocument/2006/relationships/font" Target="fonts/Roboto-italic.ttf"/><Relationship Id="rId4" Type="http://schemas.openxmlformats.org/officeDocument/2006/relationships/font" Target="fonts/Roboto-boldItalic.ttf"/><Relationship Id="rId5" Type="http://schemas.openxmlformats.org/officeDocument/2006/relationships/font" Target="fonts/OpenSans-regular.ttf"/><Relationship Id="rId6" Type="http://schemas.openxmlformats.org/officeDocument/2006/relationships/font" Target="fonts/OpenSans-bold.ttf"/><Relationship Id="rId7" Type="http://schemas.openxmlformats.org/officeDocument/2006/relationships/font" Target="fonts/OpenSans-italic.ttf"/><Relationship Id="rId8" Type="http://schemas.openxmlformats.org/officeDocument/2006/relationships/font" Target="fonts/OpenSans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