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C4170" w14:textId="00061C4A" w:rsidR="00684474" w:rsidRDefault="00D96C8A">
      <w:r w:rsidRPr="003A2140">
        <w:rPr>
          <w:rFonts w:ascii="Arial" w:hAnsi="Arial" w:cs="Arial"/>
          <w:b/>
        </w:rPr>
        <w:t>Conteúdo Interativo 2 – MRA dinâmica de MAV tornozelo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8A"/>
    <w:rsid w:val="00684474"/>
    <w:rsid w:val="00C13156"/>
    <w:rsid w:val="00D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AA5A"/>
  <w15:chartTrackingRefBased/>
  <w15:docId w15:val="{264F5AA2-B091-4CE4-80CC-407D977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2024-08-02T22:35:00Z</dcterms:created>
  <dcterms:modified xsi:type="dcterms:W3CDTF">2024-08-02T22:35:00Z</dcterms:modified>
</cp:coreProperties>
</file>