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4C2DD" w14:textId="0CEA3C69" w:rsidR="00684474" w:rsidRDefault="00026186">
      <w:r w:rsidRPr="00C35324">
        <w:rPr>
          <w:rFonts w:ascii="Arial" w:hAnsi="Arial" w:cs="Arial"/>
          <w:b/>
          <w:bCs/>
        </w:rPr>
        <w:t>Conteúdo interativo 01 – MRA dinâmica de membros inferiores do caso da figura 3.</w:t>
      </w:r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86"/>
    <w:rsid w:val="00026186"/>
    <w:rsid w:val="00684474"/>
    <w:rsid w:val="00C1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A8A9"/>
  <w15:chartTrackingRefBased/>
  <w15:docId w15:val="{DA563E1A-383C-4E4D-8834-E87F22C0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2024-08-02T22:33:00Z</dcterms:created>
  <dcterms:modified xsi:type="dcterms:W3CDTF">2024-08-02T22:34:00Z</dcterms:modified>
</cp:coreProperties>
</file>