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PERGUNTAS E RESPOSTAS PARA O CAPÍTULO DE O-RADS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1- Ao identificar múltiplas lesões ovarianas/anexiais na ultrassonografia, como se deve proceder?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A) Classificar a maior lesão apenas.</w:t>
      </w:r>
    </w:p>
    <w:p w:rsidR="00000000" w:rsidDel="00000000" w:rsidP="00000000" w:rsidRDefault="00000000" w:rsidRPr="00000000" w14:paraId="00000005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B) Usar um O-RADS® para cada lesão.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C) Ignorar lesões menores que 2 cm.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D) Avaliar somente as lesões unilaterais.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2- Quando é recomendado o uso da RM após uma ultrassonografia?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A) Para todas as lesões identificadas na ultrassonografia.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B) Apenas para lesões categorizadas como O-RADS® 1 e 2.</w:t>
      </w:r>
    </w:p>
    <w:p w:rsidR="00000000" w:rsidDel="00000000" w:rsidP="00000000" w:rsidRDefault="00000000" w:rsidRPr="00000000" w14:paraId="0000000C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C) Para lesões suspeitas ou indeterminadas (O-RADS® 3, 4, e 5).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D) Nunca; a ultrassonografia é sempre suficiente.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3- As recomendações de conduta do O-RADS® são: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A) Definitivas e imutáveis.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B) Apenas sugestões; a decisão final é do paciente.</w:t>
      </w:r>
    </w:p>
    <w:p w:rsidR="00000000" w:rsidDel="00000000" w:rsidP="00000000" w:rsidRDefault="00000000" w:rsidRPr="00000000" w14:paraId="00000013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C) Guias que podem ser alterados com base em fatores clínicos.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D) Irrelevantes para a prática clínica.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4- Segundo o léxico do O-RADS® RM, o que é tecido sólido?</w:t>
      </w:r>
    </w:p>
    <w:p w:rsidR="00000000" w:rsidDel="00000000" w:rsidP="00000000" w:rsidRDefault="00000000" w:rsidRPr="00000000" w14:paraId="00000017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A)Componente sólido que realça pelo meio de contraste.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B)Qualquer componente com intensidade de sinal menor que o líquido nas sequências ponderadas em T2.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C)Qualquer componente que apresente restrição à difusão.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D)Paredes ou septos finos em um cisto.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5- Pelo léxico do O-RADS® RM, não é considerado tecido sólido:</w:t>
      </w:r>
    </w:p>
    <w:p w:rsidR="00000000" w:rsidDel="00000000" w:rsidP="00000000" w:rsidRDefault="00000000" w:rsidRPr="00000000" w14:paraId="0000001E">
      <w:pPr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A)Nódulo de Rokitansky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B)Projeção papilar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C)Septos irregulares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D)Nódulo mural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6-A curva de alto risco apresenta as seguintes características: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Aumento gradual do sinal do tecido sólido, menor que o do miométrio, sem platô bem definido.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B)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Elevação moderada inicial do sinal do tecido sólido, menor ou igual ao do miométrio, seguida de platô.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C)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Elevação do sinal do tecido sólido mais rápida que do miométrio, seguida de platô.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Elevação do sinal do tecido sólido mais rápida que do miométrio, seguida de ascensão progressiva.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CBR RESPONDE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tl w:val="0"/>
        </w:rPr>
        <w:t xml:space="preserve">1-</w:t>
      </w: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Como o escore de cor é uma avaliação subjetiva, como posso distinguir entre diferentes graus de fluxo? O Doppler espectral desempenha algum papel?</w:t>
      </w:r>
    </w:p>
    <w:p w:rsidR="00000000" w:rsidDel="00000000" w:rsidP="00000000" w:rsidRDefault="00000000" w:rsidRPr="00000000" w14:paraId="0000002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Nova Mono" w:cs="Nova Mono" w:eastAsia="Nova Mono" w:hAnsi="Nova Mono"/>
          <w:color w:val="0d0d0d"/>
          <w:rtl w:val="0"/>
        </w:rPr>
        <w:t xml:space="preserve">O escore de cor  é uma avaliação geral subjetiva da vascularização interna observada na imagem de Doppler colorido e varia de 1 a 4, correspondendo a nenhum, mínimo, moderado e fluxo muito forte. Alguns fabricantes oferecem configurações automatizadas de "baixo fluxo", enquanto outros exigem ajustes seletivos de parâmetros, incluindo ganho de Doppler colorido, escala (≤4 cm/s), frequência de repetição de pulso e filtros de parede. Seleções adicionais do operador para maximizar a detecção de fluxo incluem o uso de Doppler de energia e a redução do tamanho da caixa de Doppler para a região de interesse. Embora a otimização para estados de baixo fluxo seja importante, é necessário ter cuidado para não fazer ajustes excessivos resultando em artefatos excessivos que também são um fator limitante igualmente.</w:t>
      </w:r>
    </w:p>
    <w:p w:rsidR="00000000" w:rsidDel="00000000" w:rsidP="00000000" w:rsidRDefault="00000000" w:rsidRPr="00000000" w14:paraId="0000002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Com as configurações de Doppler colorido otimizadas, o fluxo que é apenas perceptível deve ser considerado como escore de cor 2 (fluxo mínimo). Em contraste, quando o fluxo de Doppler colorido é robusto e facilmente obtido em todos os componentes sólidos, paredes ou septos de uma lesão, isso seria considerado como escore de cor 4 (fluxo muito forte). Qualquer coisa entre esses dois extremos seria considerada escore de cor 3 (fluxo moderado). </w:t>
      </w:r>
    </w:p>
    <w:p w:rsidR="00000000" w:rsidDel="00000000" w:rsidP="00000000" w:rsidRDefault="00000000" w:rsidRPr="00000000" w14:paraId="0000002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O Doppler espectral é útil como uma ferramenta complementar para distinguir a vascularização do artefato quando os vasos não estão claramente delineados com Doppler colorido. No entanto, o Doppler espectral não desempenha nenhum papel na determinação do escore de cor e avaliação de risco.</w:t>
      </w:r>
    </w:p>
    <w:p w:rsidR="00000000" w:rsidDel="00000000" w:rsidP="00000000" w:rsidRDefault="00000000" w:rsidRPr="00000000" w14:paraId="0000003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2- Como você diferencia entre uma aparência de "cisto filho" ou "cisto dentro de cisto" e um cisto loculado? Isso é o mesmo que um cisto "bilocular"?</w:t>
      </w:r>
    </w:p>
    <w:p w:rsidR="00000000" w:rsidDel="00000000" w:rsidP="00000000" w:rsidRDefault="00000000" w:rsidRPr="00000000" w14:paraId="0000003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A aparência de "cisto filho" ou "cisto dentro de cisto" tem sido usada para descrever volume parcial de um folículo menor adjacente a um cisto simples maior ou a um folículo dominante que parece projetar-se dentro dele. Esses termos também têm sido usados para descrever um folículo dominante com um cumulus oophorus na margem pouco antes da ovulação. Se houver incerteza, pode-se obter um acompanhamento em curto intervalo para avaliar a resolução, já que os achados fisiológicos evoluem de forma oportuna. Correlacionar com o status menopausal é sempre prudente, pois folículos fisiológicos são vistos apenas em pacientes pré-menopausadas e menos comumente em pacientes no início da pós-menopausa (&lt;5 anos de menopausa).</w:t>
      </w:r>
    </w:p>
    <w:p w:rsidR="00000000" w:rsidDel="00000000" w:rsidP="00000000" w:rsidRDefault="00000000" w:rsidRPr="00000000" w14:paraId="0000003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Nova Mono" w:cs="Nova Mono" w:eastAsia="Nova Mono" w:hAnsi="Nova Mono"/>
          <w:color w:val="0d0d0d"/>
          <w:rtl w:val="0"/>
        </w:rPr>
        <w:t xml:space="preserve">Um cisto loculado tem pelo menos uma septação completa. Quando uma septação é mais ou menos circular, pode imitar uma aparência de "cisto dentro de cisto". Se a localização do cisto menor não parecer estar dentro do parênquima ovariano circundante, ele deve ser avaliado como um cisto loculado, com o termo "bilocular" aplicado se houver uma septação (2 loculus) e "multiloculado" usado para ≥2 septações (≥3 loculus).</w:t>
      </w:r>
    </w:p>
    <w:p w:rsidR="00000000" w:rsidDel="00000000" w:rsidP="00000000" w:rsidRDefault="00000000" w:rsidRPr="00000000" w14:paraId="0000003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30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Nova Mono" w:cs="Nova Mono" w:eastAsia="Nova Mono" w:hAnsi="Nova Mono"/>
          <w:color w:val="0d0d0d"/>
          <w:rtl w:val="0"/>
        </w:rPr>
        <w:t xml:space="preserve">Na versão original do O-RADS US, não havia distinção entre um cisto "bilocular" e "multiloculado". No entanto, como muitos cistos aparentemente "biloculares" podem de fato representar folículos/cistos adjacentes, e para melhor se alinhar com o Consenso SRU sobre Cistos Anexiais, que recomenda que um cisto simples com uma única septação lisa e fina seja gerenciado como um cisto simples, "bilocular" foi adicionado ao léxico na versão 2022. Isso é apoiado por dados mais recentes do IOTA 5 que mostraram que um cisto &lt;10 cm com uma única septação lisa tem um risco &lt;1% de malignidade pertencente à categoria O-RADS US 2 (quase certamente benigno). Anteriormente, qualquer cisto com ≥1 septação era considerado multiloculado e era categorizado como O-RADS US 3 (baixo risco); multiloculado foi assim redefinido como ≥2 septações (≥3 loculus) para permitir uma especificidade mais alta e um gerenciamento mais apropriado de cistos loculados.</w:t>
      </w:r>
    </w:p>
    <w:p w:rsidR="00000000" w:rsidDel="00000000" w:rsidP="00000000" w:rsidRDefault="00000000" w:rsidRPr="00000000" w14:paraId="0000003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30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3- O que é considerado "ascite"? Os ecos dentro do líquido são relevantes?</w:t>
      </w:r>
    </w:p>
    <w:p w:rsidR="00000000" w:rsidDel="00000000" w:rsidP="00000000" w:rsidRDefault="00000000" w:rsidRPr="00000000" w14:paraId="0000003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Para fins de estratificação de risco, ascite é definida como fluido que se estende além do fundo de saco superior ao fundo uterino se o útero estiver antervertido ou antefletido, ou fluido anterior e superior ao útero se o útero estiver retrovertido ou retrofletido. Quando a ascite é vista em conjunto com uma lesão anexial avaliada como O-RADS US 3 (baixo risco) ou 4 (risco intermediário), um upgrade para O-RADS US 5 (alto risco) é justificado quando não há outras etiologias de ascite presentes, como cirrose ou terceiro espaço.</w:t>
      </w:r>
    </w:p>
    <w:p w:rsidR="00000000" w:rsidDel="00000000" w:rsidP="00000000" w:rsidRDefault="00000000" w:rsidRPr="00000000" w14:paraId="0000003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30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Ecos dentro do fluido são inespecíficos e não desempenham um papel na avaliação de risco. Embora os ecos possam indicar células no contexto de ascite maligna, sangue ou pus podem ter uma aparência semelhante e, portanto, o cenário clínico sempre deve ser considerado.</w:t>
      </w:r>
    </w:p>
    <w:p w:rsidR="00000000" w:rsidDel="00000000" w:rsidP="00000000" w:rsidRDefault="00000000" w:rsidRPr="00000000" w14:paraId="0000003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30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4- Como diferenciar se o componente sólido é um nódulo de Rokitansky de tecido sólido preocupante em uma lesão gordurosa?</w:t>
      </w:r>
    </w:p>
    <w:p w:rsidR="00000000" w:rsidDel="00000000" w:rsidP="00000000" w:rsidRDefault="00000000" w:rsidRPr="00000000" w14:paraId="0000003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30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Um nódulo de Rokitansky realça e está associado à gordura, comumente adjacente a septações dentro do dermoide.</w:t>
      </w:r>
    </w:p>
    <w:p w:rsidR="00000000" w:rsidDel="00000000" w:rsidP="00000000" w:rsidRDefault="00000000" w:rsidRPr="00000000" w14:paraId="0000003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30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Há uma escassez de dados sobre quanto tecido sólido deve levantar suspeitas. Em um dermoide que sofreu degeneração, o tecido sólido maligno geralmente não contém gordura e há mais tecido sólido do que o esperado para um nódulo de Rokitansky. O tecido sólido maligno também tende a estar dentro da parede da lesão.</w:t>
      </w:r>
    </w:p>
    <w:p w:rsidR="00000000" w:rsidDel="00000000" w:rsidP="00000000" w:rsidRDefault="00000000" w:rsidRPr="00000000" w14:paraId="0000003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30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5- Como classificar cistos hemorrágicos como O-RADS MRI 2 ou 3?</w:t>
        <w:br w:type="textWrapping"/>
        <w:t xml:space="preserve">Em mulheres pré-menopáusicas:</w:t>
      </w:r>
    </w:p>
    <w:p w:rsidR="00000000" w:rsidDel="00000000" w:rsidP="00000000" w:rsidRDefault="00000000" w:rsidRPr="00000000" w14:paraId="0000003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Se o cisto hemorrágico não apresentar realce parietal: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30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&lt; 3 cm- O-RADS MRI 1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beforeAutospacing="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&gt; 3 cm- O-RADS MRI 2</w:t>
      </w:r>
    </w:p>
    <w:p w:rsidR="00000000" w:rsidDel="00000000" w:rsidP="00000000" w:rsidRDefault="00000000" w:rsidRPr="00000000" w14:paraId="0000003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ind w:left="0" w:firstLine="0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Se o cisto hemorrágico apresentar realce parietal: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30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&lt; 3 cm- O-RADS MRI 1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beforeAutospacing="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&gt; 3 cm- O-RADS MRI 3</w:t>
      </w:r>
    </w:p>
    <w:p w:rsidR="00000000" w:rsidDel="00000000" w:rsidP="00000000" w:rsidRDefault="00000000" w:rsidRPr="00000000" w14:paraId="0000004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30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Em mulheres pós-menopáusicas: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300" w:lineRule="auto"/>
        <w:ind w:left="720" w:hanging="360"/>
        <w:jc w:val="both"/>
        <w:rPr>
          <w:rFonts w:ascii="Roboto" w:cs="Roboto" w:eastAsia="Roboto" w:hAnsi="Roboto"/>
          <w:color w:val="0d0d0d"/>
          <w:u w:val="none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Se o cisto hemorrágico não apresentar realce parietal- O-RADS MRI 2, independentemente do tamanho.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0" w:beforeAutospacing="0" w:lineRule="auto"/>
        <w:ind w:left="720" w:hanging="360"/>
        <w:jc w:val="both"/>
        <w:rPr>
          <w:rFonts w:ascii="Roboto" w:cs="Roboto" w:eastAsia="Roboto" w:hAnsi="Roboto"/>
          <w:color w:val="0d0d0d"/>
          <w:u w:val="none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Se o cisto hemorrágico apresentar realce parietal- O-RADS MRI 3, independentemente do tamanho.</w:t>
      </w:r>
    </w:p>
    <w:p w:rsidR="00000000" w:rsidDel="00000000" w:rsidP="00000000" w:rsidRDefault="00000000" w:rsidRPr="00000000" w14:paraId="0000004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300" w:lineRule="auto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300" w:lineRule="auto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b w:val="1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va Mono">
    <w:embedRegular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